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6" w:rsidRDefault="0067490A" w:rsidP="00EC1C86">
      <w:pPr>
        <w:jc w:val="center"/>
        <w:rPr>
          <w:b/>
        </w:rPr>
      </w:pPr>
      <w:bookmarkStart w:id="0" w:name="_GoBack"/>
      <w:bookmarkEnd w:id="0"/>
      <w:r w:rsidRPr="008A0CEC">
        <w:rPr>
          <w:b/>
          <w:noProof/>
        </w:rPr>
        <w:drawing>
          <wp:inline distT="0" distB="0" distL="0" distR="0">
            <wp:extent cx="702945" cy="838200"/>
            <wp:effectExtent l="19050" t="0" r="1905" b="0"/>
            <wp:docPr id="8" name="Рисунок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EC" w:rsidRDefault="008A0CEC" w:rsidP="00EC1C86">
      <w:pPr>
        <w:jc w:val="center"/>
        <w:rPr>
          <w:b/>
        </w:rPr>
      </w:pP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ТРЕТИЙ</w:t>
      </w:r>
      <w:r w:rsidRPr="00AB2744">
        <w:rPr>
          <w:b/>
        </w:rPr>
        <w:t xml:space="preserve">  СОЗЫВ)</w:t>
      </w:r>
    </w:p>
    <w:p w:rsidR="00EC1C86" w:rsidRPr="00AB2744" w:rsidRDefault="00602B40" w:rsidP="00EC1C86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16E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1C86" w:rsidRDefault="00EC1C86" w:rsidP="00EC1C86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67490A" w:rsidRDefault="0067490A" w:rsidP="00EC1C86">
      <w:pPr>
        <w:jc w:val="center"/>
        <w:rPr>
          <w:b/>
          <w:bCs/>
          <w:sz w:val="28"/>
          <w:szCs w:val="28"/>
        </w:rPr>
      </w:pPr>
    </w:p>
    <w:p w:rsidR="00EC1C86" w:rsidRDefault="00EC1C86" w:rsidP="00EC1C86">
      <w:pPr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67490A">
        <w:rPr>
          <w:b/>
          <w:bCs/>
          <w:sz w:val="28"/>
          <w:szCs w:val="28"/>
        </w:rPr>
        <w:t>27.02.2019 г. № 18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EC1C86" w:rsidRPr="008A0CEC" w:rsidTr="008A0CEC">
        <w:trPr>
          <w:trHeight w:val="1281"/>
        </w:trPr>
        <w:tc>
          <w:tcPr>
            <w:tcW w:w="6629" w:type="dxa"/>
          </w:tcPr>
          <w:p w:rsidR="008A0CEC" w:rsidRPr="008A0CEC" w:rsidRDefault="008A0CEC" w:rsidP="008A0CEC">
            <w:pPr>
              <w:jc w:val="right"/>
              <w:rPr>
                <w:b/>
                <w:sz w:val="24"/>
                <w:szCs w:val="24"/>
              </w:rPr>
            </w:pPr>
            <w:r w:rsidRPr="008A0CEC">
              <w:rPr>
                <w:b/>
                <w:sz w:val="24"/>
                <w:szCs w:val="24"/>
              </w:rPr>
              <w:t xml:space="preserve">   </w:t>
            </w:r>
          </w:p>
          <w:p w:rsidR="00EC1C86" w:rsidRPr="008A0CEC" w:rsidRDefault="00EC1C86" w:rsidP="009A696C">
            <w:pPr>
              <w:jc w:val="both"/>
              <w:rPr>
                <w:rFonts w:eastAsia="MS Mincho"/>
                <w:b/>
                <w:sz w:val="28"/>
                <w:szCs w:val="24"/>
                <w:lang w:eastAsia="ja-JP"/>
              </w:rPr>
            </w:pPr>
          </w:p>
          <w:p w:rsidR="00EC1C86" w:rsidRPr="008A0CEC" w:rsidRDefault="008A0CEC" w:rsidP="008A0C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86" w:rsidRPr="008A0CE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размера базовой ставки </w:t>
            </w:r>
            <w:r w:rsidRPr="008A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C86" w:rsidRPr="008A0CEC">
              <w:rPr>
                <w:rFonts w:ascii="Times New Roman" w:hAnsi="Times New Roman" w:cs="Times New Roman"/>
                <w:sz w:val="28"/>
                <w:szCs w:val="28"/>
              </w:rPr>
              <w:t>для расчета платы за право размещения нестационарных торговых объектов на 201</w:t>
            </w:r>
            <w:r w:rsidR="009A696C" w:rsidRPr="008A0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1C86" w:rsidRPr="008A0C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1C86" w:rsidRDefault="008A0CEC" w:rsidP="00EC1C86">
      <w:pPr>
        <w:pStyle w:val="Heading"/>
        <w:ind w:firstLine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  </w:t>
      </w: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Pr="00123785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3785">
        <w:rPr>
          <w:rFonts w:ascii="Times New Roman" w:hAnsi="Times New Roman"/>
          <w:b w:val="0"/>
          <w:sz w:val="28"/>
          <w:szCs w:val="28"/>
        </w:rPr>
        <w:t xml:space="preserve">Руководствуясь пунктом </w:t>
      </w:r>
      <w:r>
        <w:rPr>
          <w:rFonts w:ascii="Times New Roman" w:hAnsi="Times New Roman"/>
          <w:b w:val="0"/>
          <w:sz w:val="28"/>
          <w:szCs w:val="28"/>
        </w:rPr>
        <w:t>54.1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части 1 статьи 27 Устава муниципального образования Сосновоборский городской округ Ленинградской облас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, </w:t>
      </w:r>
      <w:r w:rsidRPr="00ED6022">
        <w:rPr>
          <w:rFonts w:ascii="Times New Roman" w:hAnsi="Times New Roman"/>
          <w:b w:val="0"/>
          <w:sz w:val="28"/>
          <w:szCs w:val="28"/>
        </w:rPr>
        <w:t>Порядком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28.12.2016 № 190, совет депутатов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Сосновоборского городского округа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Pr="00CE133F" w:rsidRDefault="00EC1C86" w:rsidP="00EC1C86">
      <w:pPr>
        <w:jc w:val="center"/>
        <w:rPr>
          <w:sz w:val="28"/>
          <w:szCs w:val="28"/>
        </w:rPr>
      </w:pPr>
      <w:r w:rsidRPr="00CE133F">
        <w:rPr>
          <w:sz w:val="28"/>
          <w:szCs w:val="28"/>
        </w:rPr>
        <w:t>Р Е Ш И Л: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6022">
        <w:rPr>
          <w:rFonts w:ascii="Times New Roman" w:hAnsi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6022">
        <w:rPr>
          <w:rFonts w:ascii="Times New Roman" w:hAnsi="Times New Roman"/>
          <w:b w:val="0"/>
          <w:sz w:val="28"/>
          <w:szCs w:val="28"/>
        </w:rPr>
        <w:t>Установить на 201</w:t>
      </w:r>
      <w:r w:rsidR="009A696C">
        <w:rPr>
          <w:rFonts w:ascii="Times New Roman" w:hAnsi="Times New Roman"/>
          <w:b w:val="0"/>
          <w:sz w:val="28"/>
          <w:szCs w:val="28"/>
        </w:rPr>
        <w:t>9</w:t>
      </w:r>
      <w:r w:rsidRPr="00ED6022">
        <w:rPr>
          <w:rFonts w:ascii="Times New Roman" w:hAnsi="Times New Roman"/>
          <w:b w:val="0"/>
          <w:sz w:val="28"/>
          <w:szCs w:val="28"/>
        </w:rPr>
        <w:t xml:space="preserve"> год базовую ставку для расчета платы за право размещения нестационарных торговых объектов в размере 612,00 руб. (шестьсот двенадцать рублей 00 копеек) за 1 квадратный метр в год.</w:t>
      </w:r>
    </w:p>
    <w:p w:rsidR="00EC1C86" w:rsidRPr="00ED6022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C1C86" w:rsidRPr="00906782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 xml:space="preserve">2 Настоящее решение вступает в силу со дня официального </w:t>
      </w:r>
      <w:r w:rsidR="00917BDB">
        <w:rPr>
          <w:sz w:val="28"/>
          <w:szCs w:val="28"/>
        </w:rPr>
        <w:t>о</w:t>
      </w:r>
      <w:r w:rsidR="0067490A">
        <w:rPr>
          <w:sz w:val="28"/>
          <w:szCs w:val="28"/>
        </w:rPr>
        <w:t xml:space="preserve">публикования </w:t>
      </w:r>
      <w:r>
        <w:rPr>
          <w:sz w:val="28"/>
          <w:szCs w:val="28"/>
        </w:rPr>
        <w:t xml:space="preserve">и </w:t>
      </w:r>
      <w:r w:rsidRPr="00906782">
        <w:rPr>
          <w:sz w:val="28"/>
          <w:szCs w:val="28"/>
        </w:rPr>
        <w:t>распространяется на правоотношения, возникшие с 01 января 201</w:t>
      </w:r>
      <w:r w:rsidR="00917BDB">
        <w:rPr>
          <w:sz w:val="28"/>
          <w:szCs w:val="28"/>
        </w:rPr>
        <w:t>9</w:t>
      </w:r>
      <w:r w:rsidRPr="00906782">
        <w:rPr>
          <w:sz w:val="28"/>
          <w:szCs w:val="28"/>
        </w:rPr>
        <w:t xml:space="preserve"> года.</w:t>
      </w: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 xml:space="preserve">3. Настоящее решение </w:t>
      </w:r>
      <w:r w:rsidR="0067490A">
        <w:rPr>
          <w:sz w:val="28"/>
          <w:szCs w:val="28"/>
        </w:rPr>
        <w:t>официально опубликовать</w:t>
      </w:r>
      <w:r w:rsidR="00917BDB">
        <w:rPr>
          <w:sz w:val="28"/>
          <w:szCs w:val="28"/>
        </w:rPr>
        <w:t xml:space="preserve"> </w:t>
      </w:r>
      <w:r w:rsidR="0067490A">
        <w:rPr>
          <w:sz w:val="28"/>
          <w:szCs w:val="28"/>
        </w:rPr>
        <w:t xml:space="preserve">в </w:t>
      </w:r>
      <w:r w:rsidR="00917BDB">
        <w:rPr>
          <w:sz w:val="28"/>
          <w:szCs w:val="28"/>
        </w:rPr>
        <w:t>городской газет</w:t>
      </w:r>
      <w:r w:rsidR="0067490A">
        <w:rPr>
          <w:sz w:val="28"/>
          <w:szCs w:val="28"/>
        </w:rPr>
        <w:t>е</w:t>
      </w:r>
      <w:r w:rsidR="00917BDB">
        <w:rPr>
          <w:sz w:val="28"/>
          <w:szCs w:val="28"/>
        </w:rPr>
        <w:t xml:space="preserve"> «Маяк»</w:t>
      </w:r>
      <w:r w:rsidR="0067490A">
        <w:rPr>
          <w:sz w:val="28"/>
          <w:szCs w:val="28"/>
        </w:rPr>
        <w:t>.</w:t>
      </w: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Default="00EC1C86" w:rsidP="00EC1C86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 xml:space="preserve">Глава Сосновоборского </w:t>
      </w:r>
    </w:p>
    <w:p w:rsidR="00EC1C86" w:rsidRDefault="00EC1C86" w:rsidP="00EC1C86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>городского округа</w:t>
      </w:r>
      <w:r w:rsidRPr="00F754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А.В.Иванов</w:t>
      </w:r>
    </w:p>
    <w:p w:rsidR="00EC1C86" w:rsidRDefault="00EC1C86" w:rsidP="00EC1C86">
      <w:pPr>
        <w:pStyle w:val="Heading"/>
        <w:jc w:val="both"/>
        <w:rPr>
          <w:rFonts w:ascii="Times New Roman" w:hAnsi="Times New Roman"/>
          <w:sz w:val="20"/>
        </w:rPr>
      </w:pPr>
    </w:p>
    <w:sectPr w:rsidR="00EC1C86" w:rsidSect="00E7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2F" w:rsidRDefault="00CD6A2F" w:rsidP="0033143A">
      <w:r>
        <w:separator/>
      </w:r>
    </w:p>
  </w:endnote>
  <w:endnote w:type="continuationSeparator" w:id="0">
    <w:p w:rsidR="00CD6A2F" w:rsidRDefault="00CD6A2F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2F" w:rsidRDefault="00CD6A2F" w:rsidP="0033143A">
      <w:r>
        <w:separator/>
      </w:r>
    </w:p>
  </w:footnote>
  <w:footnote w:type="continuationSeparator" w:id="0">
    <w:p w:rsidR="00CD6A2F" w:rsidRDefault="00CD6A2F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EC" w:rsidRDefault="000A53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0c2eea-7b0c-43c9-9a66-491a61786f8e"/>
  </w:docVars>
  <w:rsids>
    <w:rsidRoot w:val="006D4CBF"/>
    <w:rsid w:val="0001208D"/>
    <w:rsid w:val="00023CE8"/>
    <w:rsid w:val="0003287B"/>
    <w:rsid w:val="0006150A"/>
    <w:rsid w:val="00063D74"/>
    <w:rsid w:val="0006715D"/>
    <w:rsid w:val="0008180D"/>
    <w:rsid w:val="0008436E"/>
    <w:rsid w:val="000A53EC"/>
    <w:rsid w:val="000B081B"/>
    <w:rsid w:val="000B5CA4"/>
    <w:rsid w:val="00100083"/>
    <w:rsid w:val="00101E2D"/>
    <w:rsid w:val="00104737"/>
    <w:rsid w:val="00115175"/>
    <w:rsid w:val="00141FBB"/>
    <w:rsid w:val="0014571E"/>
    <w:rsid w:val="00165AE3"/>
    <w:rsid w:val="00173E20"/>
    <w:rsid w:val="001831F8"/>
    <w:rsid w:val="001B4B37"/>
    <w:rsid w:val="001B5B93"/>
    <w:rsid w:val="001D627A"/>
    <w:rsid w:val="001D7037"/>
    <w:rsid w:val="001E68FF"/>
    <w:rsid w:val="00205B3E"/>
    <w:rsid w:val="00210CFE"/>
    <w:rsid w:val="00234B62"/>
    <w:rsid w:val="002479FD"/>
    <w:rsid w:val="00253916"/>
    <w:rsid w:val="0026630A"/>
    <w:rsid w:val="002759AB"/>
    <w:rsid w:val="00281C1E"/>
    <w:rsid w:val="00283BB4"/>
    <w:rsid w:val="00287365"/>
    <w:rsid w:val="0029347E"/>
    <w:rsid w:val="00295219"/>
    <w:rsid w:val="002A32D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564D7"/>
    <w:rsid w:val="0038150D"/>
    <w:rsid w:val="003933EF"/>
    <w:rsid w:val="00393D91"/>
    <w:rsid w:val="003C2D95"/>
    <w:rsid w:val="003E303D"/>
    <w:rsid w:val="003F0B9E"/>
    <w:rsid w:val="00414D12"/>
    <w:rsid w:val="00417EFD"/>
    <w:rsid w:val="00444CB6"/>
    <w:rsid w:val="00452C87"/>
    <w:rsid w:val="00491159"/>
    <w:rsid w:val="004946DC"/>
    <w:rsid w:val="00494FFF"/>
    <w:rsid w:val="004A53DD"/>
    <w:rsid w:val="004C215A"/>
    <w:rsid w:val="004D3E6E"/>
    <w:rsid w:val="004D45F1"/>
    <w:rsid w:val="004E2456"/>
    <w:rsid w:val="004E3178"/>
    <w:rsid w:val="00503EBC"/>
    <w:rsid w:val="00506B3D"/>
    <w:rsid w:val="00550A42"/>
    <w:rsid w:val="00557980"/>
    <w:rsid w:val="0056226D"/>
    <w:rsid w:val="005648B6"/>
    <w:rsid w:val="00597CCD"/>
    <w:rsid w:val="005A3CC1"/>
    <w:rsid w:val="005D4295"/>
    <w:rsid w:val="005D4F5B"/>
    <w:rsid w:val="005D7CD0"/>
    <w:rsid w:val="005F631B"/>
    <w:rsid w:val="00602B40"/>
    <w:rsid w:val="00611589"/>
    <w:rsid w:val="00637682"/>
    <w:rsid w:val="0064354C"/>
    <w:rsid w:val="0064558A"/>
    <w:rsid w:val="0066353B"/>
    <w:rsid w:val="0067490A"/>
    <w:rsid w:val="006A5ADF"/>
    <w:rsid w:val="006B5204"/>
    <w:rsid w:val="006B53C4"/>
    <w:rsid w:val="006C6718"/>
    <w:rsid w:val="006D4CBF"/>
    <w:rsid w:val="006F3BDD"/>
    <w:rsid w:val="00706D19"/>
    <w:rsid w:val="00724C47"/>
    <w:rsid w:val="00726E94"/>
    <w:rsid w:val="00737E83"/>
    <w:rsid w:val="007617BC"/>
    <w:rsid w:val="0078138F"/>
    <w:rsid w:val="00792EFE"/>
    <w:rsid w:val="00793113"/>
    <w:rsid w:val="0079359B"/>
    <w:rsid w:val="007B07D9"/>
    <w:rsid w:val="007C3167"/>
    <w:rsid w:val="007D0809"/>
    <w:rsid w:val="007D28CA"/>
    <w:rsid w:val="007D6532"/>
    <w:rsid w:val="007E39F5"/>
    <w:rsid w:val="007F1512"/>
    <w:rsid w:val="007F5F92"/>
    <w:rsid w:val="00804111"/>
    <w:rsid w:val="00804783"/>
    <w:rsid w:val="00837401"/>
    <w:rsid w:val="0084285F"/>
    <w:rsid w:val="00866542"/>
    <w:rsid w:val="00867668"/>
    <w:rsid w:val="00874F64"/>
    <w:rsid w:val="00884C01"/>
    <w:rsid w:val="00884F16"/>
    <w:rsid w:val="00890AB4"/>
    <w:rsid w:val="00894724"/>
    <w:rsid w:val="008A0CEC"/>
    <w:rsid w:val="008B11A1"/>
    <w:rsid w:val="008C2CA3"/>
    <w:rsid w:val="008D4C4D"/>
    <w:rsid w:val="008D6D52"/>
    <w:rsid w:val="008E6CE0"/>
    <w:rsid w:val="00901656"/>
    <w:rsid w:val="0090462D"/>
    <w:rsid w:val="00917ABD"/>
    <w:rsid w:val="00917BDB"/>
    <w:rsid w:val="00931B3B"/>
    <w:rsid w:val="009508B7"/>
    <w:rsid w:val="00960238"/>
    <w:rsid w:val="009871E3"/>
    <w:rsid w:val="009953C7"/>
    <w:rsid w:val="009A696C"/>
    <w:rsid w:val="009D42AF"/>
    <w:rsid w:val="009F2484"/>
    <w:rsid w:val="00A17C5C"/>
    <w:rsid w:val="00A226A8"/>
    <w:rsid w:val="00A43CE8"/>
    <w:rsid w:val="00A47ABB"/>
    <w:rsid w:val="00A56C40"/>
    <w:rsid w:val="00A72000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6422"/>
    <w:rsid w:val="00B065BA"/>
    <w:rsid w:val="00B13FB9"/>
    <w:rsid w:val="00B2195B"/>
    <w:rsid w:val="00B25AD4"/>
    <w:rsid w:val="00B271A6"/>
    <w:rsid w:val="00B450F2"/>
    <w:rsid w:val="00B77BB6"/>
    <w:rsid w:val="00B84918"/>
    <w:rsid w:val="00B93D8F"/>
    <w:rsid w:val="00B95462"/>
    <w:rsid w:val="00BC72A1"/>
    <w:rsid w:val="00BE76AB"/>
    <w:rsid w:val="00C32258"/>
    <w:rsid w:val="00C82BB5"/>
    <w:rsid w:val="00CA579B"/>
    <w:rsid w:val="00CB102D"/>
    <w:rsid w:val="00CB42D3"/>
    <w:rsid w:val="00CB62D6"/>
    <w:rsid w:val="00CC4600"/>
    <w:rsid w:val="00CD0560"/>
    <w:rsid w:val="00CD6A2F"/>
    <w:rsid w:val="00D105B6"/>
    <w:rsid w:val="00D34098"/>
    <w:rsid w:val="00D34AF6"/>
    <w:rsid w:val="00D417F0"/>
    <w:rsid w:val="00D521BB"/>
    <w:rsid w:val="00D5303F"/>
    <w:rsid w:val="00D90727"/>
    <w:rsid w:val="00DA7C8C"/>
    <w:rsid w:val="00DB092C"/>
    <w:rsid w:val="00DE152E"/>
    <w:rsid w:val="00DE75E8"/>
    <w:rsid w:val="00DF7D02"/>
    <w:rsid w:val="00E02D2D"/>
    <w:rsid w:val="00E34D04"/>
    <w:rsid w:val="00E40699"/>
    <w:rsid w:val="00E42521"/>
    <w:rsid w:val="00E61BB9"/>
    <w:rsid w:val="00E7391B"/>
    <w:rsid w:val="00EB18E0"/>
    <w:rsid w:val="00EC1C86"/>
    <w:rsid w:val="00EC6C8C"/>
    <w:rsid w:val="00ED0A6F"/>
    <w:rsid w:val="00ED6EB0"/>
    <w:rsid w:val="00EE5540"/>
    <w:rsid w:val="00EF6D20"/>
    <w:rsid w:val="00F044C5"/>
    <w:rsid w:val="00F217A7"/>
    <w:rsid w:val="00F353AD"/>
    <w:rsid w:val="00F80426"/>
    <w:rsid w:val="00F81023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154CE-DE75-499C-81C2-BE2F50F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КУМИ-Морозова И.Н.</dc:creator>
  <cp:keywords/>
  <dc:description/>
  <cp:lastModifiedBy>Совет Депутатов-Матвеев А.С.</cp:lastModifiedBy>
  <cp:revision>2</cp:revision>
  <cp:lastPrinted>2018-01-18T09:26:00Z</cp:lastPrinted>
  <dcterms:created xsi:type="dcterms:W3CDTF">2019-03-11T06:26:00Z</dcterms:created>
  <dcterms:modified xsi:type="dcterms:W3CDTF">2019-03-11T06:26:00Z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640c2eea-7b0c-43c9-9a66-491a61786f8e</vt:lpwstr>
  </property>
</Properties>
</file>