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B2" w:rsidRPr="006F1751" w:rsidRDefault="006D1DB2" w:rsidP="006D1DB2">
      <w:pPr>
        <w:rPr>
          <w:rFonts w:ascii="Calibri" w:eastAsia="Calibri" w:hAnsi="Calibri"/>
        </w:rPr>
      </w:pPr>
    </w:p>
    <w:p w:rsidR="006D1DB2" w:rsidRPr="006F1751" w:rsidRDefault="006D1DB2" w:rsidP="006D1DB2">
      <w:pPr>
        <w:jc w:val="center"/>
        <w:rPr>
          <w:rFonts w:eastAsia="Calibri"/>
          <w:b/>
          <w:sz w:val="24"/>
          <w:szCs w:val="24"/>
        </w:rPr>
      </w:pPr>
      <w:r w:rsidRPr="006F1751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6D1DB2" w:rsidRPr="006F1751" w:rsidRDefault="006D1DB2" w:rsidP="006D1DB2">
      <w:pPr>
        <w:jc w:val="center"/>
        <w:rPr>
          <w:rFonts w:eastAsia="Calibri"/>
          <w:b/>
          <w:sz w:val="24"/>
          <w:szCs w:val="24"/>
        </w:rPr>
      </w:pPr>
      <w:r w:rsidRPr="006F1751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82"/>
        <w:gridCol w:w="1354"/>
        <w:gridCol w:w="954"/>
        <w:gridCol w:w="707"/>
        <w:gridCol w:w="676"/>
        <w:gridCol w:w="676"/>
        <w:gridCol w:w="718"/>
        <w:gridCol w:w="921"/>
        <w:gridCol w:w="974"/>
        <w:gridCol w:w="941"/>
        <w:gridCol w:w="1071"/>
        <w:gridCol w:w="463"/>
        <w:gridCol w:w="463"/>
        <w:gridCol w:w="463"/>
        <w:gridCol w:w="463"/>
        <w:gridCol w:w="463"/>
        <w:gridCol w:w="463"/>
        <w:gridCol w:w="463"/>
      </w:tblGrid>
      <w:tr w:rsidR="006D1DB2" w:rsidRPr="005C7DBB" w:rsidTr="005C7DBB">
        <w:trPr>
          <w:trHeight w:val="705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6D1DB2" w:rsidRPr="005C7DBB" w:rsidRDefault="006D1DB2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№№</w:t>
            </w:r>
          </w:p>
        </w:tc>
        <w:tc>
          <w:tcPr>
            <w:tcW w:w="0" w:type="auto"/>
            <w:vMerge w:val="restart"/>
            <w:vAlign w:val="center"/>
          </w:tcPr>
          <w:p w:rsidR="006D1DB2" w:rsidRPr="005C7DBB" w:rsidRDefault="006D1DB2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vAlign w:val="center"/>
          </w:tcPr>
          <w:p w:rsidR="006D1DB2" w:rsidRPr="005C7DBB" w:rsidRDefault="006D1DB2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6D1DB2" w:rsidRPr="005C7DBB" w:rsidRDefault="006D1DB2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6D1DB2" w:rsidRPr="005C7DBB" w:rsidRDefault="006D1DB2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proofErr w:type="spellStart"/>
            <w:r w:rsidRPr="005C7DBB">
              <w:rPr>
                <w:rFonts w:eastAsia="Calibri"/>
                <w:sz w:val="12"/>
                <w:szCs w:val="12"/>
              </w:rPr>
              <w:t>Базо</w:t>
            </w:r>
            <w:proofErr w:type="spellEnd"/>
            <w:r w:rsidRPr="005C7DBB">
              <w:rPr>
                <w:rFonts w:eastAsia="Calibri"/>
                <w:sz w:val="12"/>
                <w:szCs w:val="12"/>
              </w:rPr>
              <w:t>-вый пока-</w:t>
            </w:r>
            <w:proofErr w:type="spellStart"/>
            <w:r w:rsidRPr="005C7DBB">
              <w:rPr>
                <w:rFonts w:eastAsia="Calibri"/>
                <w:sz w:val="12"/>
                <w:szCs w:val="12"/>
              </w:rPr>
              <w:t>затель</w:t>
            </w:r>
            <w:proofErr w:type="spellEnd"/>
            <w:r w:rsidRPr="005C7DBB">
              <w:rPr>
                <w:rFonts w:eastAsia="Calibri"/>
                <w:sz w:val="12"/>
                <w:szCs w:val="12"/>
              </w:rPr>
              <w:t xml:space="preserve"> (2016 год)</w:t>
            </w:r>
          </w:p>
        </w:tc>
        <w:tc>
          <w:tcPr>
            <w:tcW w:w="0" w:type="auto"/>
            <w:gridSpan w:val="14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Факт</w:t>
            </w:r>
          </w:p>
        </w:tc>
      </w:tr>
      <w:tr w:rsidR="006D1DB2" w:rsidRPr="005C7DBB" w:rsidTr="005C7DB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6D1DB2" w:rsidRPr="005C7DBB" w:rsidRDefault="006D1DB2" w:rsidP="005248D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  <w:vMerge/>
          </w:tcPr>
          <w:p w:rsidR="006D1DB2" w:rsidRPr="005C7DBB" w:rsidRDefault="006D1DB2" w:rsidP="005248DB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  <w:vMerge/>
          </w:tcPr>
          <w:p w:rsidR="006D1DB2" w:rsidRPr="005C7DBB" w:rsidRDefault="006D1DB2" w:rsidP="005248D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  <w:vMerge/>
          </w:tcPr>
          <w:p w:rsidR="006D1DB2" w:rsidRPr="005C7DBB" w:rsidRDefault="006D1DB2" w:rsidP="005248D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  <w:vMerge/>
          </w:tcPr>
          <w:p w:rsidR="006D1DB2" w:rsidRPr="005C7DBB" w:rsidRDefault="006D1DB2" w:rsidP="005248D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ind w:right="-166"/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2017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2018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2019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2020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2021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2022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2023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2024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2025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2026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2027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2028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2029 год</w:t>
            </w:r>
          </w:p>
        </w:tc>
        <w:tc>
          <w:tcPr>
            <w:tcW w:w="0" w:type="auto"/>
            <w:vAlign w:val="center"/>
          </w:tcPr>
          <w:p w:rsidR="006D1DB2" w:rsidRPr="005C7DBB" w:rsidRDefault="006D1DB2" w:rsidP="0086721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2030 год</w:t>
            </w:r>
          </w:p>
        </w:tc>
      </w:tr>
      <w:tr w:rsidR="00881227" w:rsidRPr="005C7DBB" w:rsidTr="005C7DBB">
        <w:trPr>
          <w:jc w:val="center"/>
        </w:trPr>
        <w:tc>
          <w:tcPr>
            <w:tcW w:w="0" w:type="auto"/>
            <w:vAlign w:val="center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Количество субъектов МСП, получивших финансовую поддержку (в том числе микрозаймов), за счет средств муниципального бюджета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Отдел экономического развития (далее - ОЭР)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FFFFFF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881227" w:rsidRPr="005C7DBB" w:rsidRDefault="005A69F2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881227" w:rsidRPr="005C7DBB" w:rsidTr="005C7DBB">
        <w:trPr>
          <w:jc w:val="center"/>
        </w:trPr>
        <w:tc>
          <w:tcPr>
            <w:tcW w:w="0" w:type="auto"/>
            <w:vAlign w:val="center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(включая вновь зарегистрированных ИП)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единиц (показатель указывается отдельно по средствам областного бюджета)</w:t>
            </w:r>
          </w:p>
        </w:tc>
        <w:tc>
          <w:tcPr>
            <w:tcW w:w="0" w:type="auto"/>
            <w:shd w:val="clear" w:color="auto" w:fill="FFFFFF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881227" w:rsidRPr="005C7DBB" w:rsidRDefault="00881227" w:rsidP="008812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B31799" w:rsidRPr="005C7DBB" w:rsidTr="005C7DBB">
        <w:trPr>
          <w:jc w:val="center"/>
        </w:trPr>
        <w:tc>
          <w:tcPr>
            <w:tcW w:w="0" w:type="auto"/>
            <w:vAlign w:val="center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:rsidR="005A69F2" w:rsidRPr="005C7DBB" w:rsidRDefault="005A69F2" w:rsidP="005A69F2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0" w:type="auto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тыс. человек</w:t>
            </w:r>
          </w:p>
        </w:tc>
        <w:tc>
          <w:tcPr>
            <w:tcW w:w="0" w:type="auto"/>
            <w:shd w:val="clear" w:color="auto" w:fill="FFFFFF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6,2</w:t>
            </w:r>
          </w:p>
        </w:tc>
        <w:tc>
          <w:tcPr>
            <w:tcW w:w="0" w:type="auto"/>
            <w:shd w:val="clear" w:color="auto" w:fill="FFFFFF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6,5</w:t>
            </w:r>
          </w:p>
        </w:tc>
        <w:tc>
          <w:tcPr>
            <w:tcW w:w="0" w:type="auto"/>
            <w:shd w:val="clear" w:color="auto" w:fill="FFFFFF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6,7</w:t>
            </w:r>
          </w:p>
        </w:tc>
        <w:tc>
          <w:tcPr>
            <w:tcW w:w="0" w:type="auto"/>
            <w:shd w:val="clear" w:color="auto" w:fill="FFFFFF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6,9</w:t>
            </w:r>
          </w:p>
        </w:tc>
        <w:tc>
          <w:tcPr>
            <w:tcW w:w="0" w:type="auto"/>
            <w:shd w:val="clear" w:color="auto" w:fill="auto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7,4</w:t>
            </w:r>
          </w:p>
        </w:tc>
        <w:tc>
          <w:tcPr>
            <w:tcW w:w="0" w:type="auto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8,2*</w:t>
            </w:r>
          </w:p>
        </w:tc>
        <w:tc>
          <w:tcPr>
            <w:tcW w:w="0" w:type="auto"/>
          </w:tcPr>
          <w:p w:rsidR="005A69F2" w:rsidRPr="005C7DBB" w:rsidRDefault="00B31799" w:rsidP="005A69F2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8,6*</w:t>
            </w:r>
          </w:p>
        </w:tc>
        <w:tc>
          <w:tcPr>
            <w:tcW w:w="0" w:type="auto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**</w:t>
            </w:r>
          </w:p>
        </w:tc>
        <w:tc>
          <w:tcPr>
            <w:tcW w:w="0" w:type="auto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5A69F2" w:rsidRPr="005C7DBB" w:rsidRDefault="005A69F2" w:rsidP="005A69F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B31799" w:rsidRPr="005C7DBB" w:rsidTr="005C7DBB">
        <w:trPr>
          <w:jc w:val="center"/>
        </w:trPr>
        <w:tc>
          <w:tcPr>
            <w:tcW w:w="0" w:type="auto"/>
            <w:vAlign w:val="center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21,1</w:t>
            </w:r>
          </w:p>
        </w:tc>
        <w:tc>
          <w:tcPr>
            <w:tcW w:w="0" w:type="auto"/>
            <w:shd w:val="clear" w:color="auto" w:fill="FFFFFF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20,9</w:t>
            </w:r>
          </w:p>
        </w:tc>
        <w:tc>
          <w:tcPr>
            <w:tcW w:w="0" w:type="auto"/>
            <w:shd w:val="clear" w:color="auto" w:fill="FFFFFF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22,1</w:t>
            </w:r>
          </w:p>
        </w:tc>
        <w:tc>
          <w:tcPr>
            <w:tcW w:w="0" w:type="auto"/>
            <w:shd w:val="clear" w:color="auto" w:fill="FFFFFF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21,1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22,32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25,39*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27,1*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**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8F6D58" w:rsidRPr="005C7DBB" w:rsidTr="005C7DBB">
        <w:trPr>
          <w:jc w:val="center"/>
        </w:trPr>
        <w:tc>
          <w:tcPr>
            <w:tcW w:w="0" w:type="auto"/>
            <w:vAlign w:val="center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Количество субъектов МСП (включая ИП) в расчете на    1 тыс. человек населения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FFFFFF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19,7</w:t>
            </w:r>
          </w:p>
        </w:tc>
        <w:tc>
          <w:tcPr>
            <w:tcW w:w="0" w:type="auto"/>
            <w:shd w:val="clear" w:color="auto" w:fill="FFFFFF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23,2</w:t>
            </w:r>
          </w:p>
        </w:tc>
        <w:tc>
          <w:tcPr>
            <w:tcW w:w="0" w:type="auto"/>
            <w:shd w:val="clear" w:color="auto" w:fill="FFFFFF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28,4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30,1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28,0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29,3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30,2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**</w:t>
            </w: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B31799" w:rsidRPr="005C7DBB" w:rsidRDefault="00B31799" w:rsidP="00B317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5248DB" w:rsidRPr="005C7DBB" w:rsidTr="005C7DBB">
        <w:trPr>
          <w:jc w:val="center"/>
        </w:trPr>
        <w:tc>
          <w:tcPr>
            <w:tcW w:w="0" w:type="auto"/>
            <w:vAlign w:val="center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0" w:type="auto"/>
          </w:tcPr>
          <w:p w:rsidR="005248DB" w:rsidRPr="005C7DBB" w:rsidRDefault="005248DB" w:rsidP="005248DB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Количество субъектов малого предпринимательства, получивших субсидии в рамках мероприятия по предоставлению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FFFFFF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5248DB" w:rsidRPr="005C7DBB" w:rsidRDefault="005248DB" w:rsidP="005248D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742AB6" w:rsidRPr="005C7DBB" w:rsidTr="005C7DBB">
        <w:trPr>
          <w:jc w:val="center"/>
        </w:trPr>
        <w:tc>
          <w:tcPr>
            <w:tcW w:w="0" w:type="auto"/>
            <w:vAlign w:val="center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 xml:space="preserve">Количество рабочих мест, созданных субъектами малого предпринимательства, получившими поддержку в рамках мероприятия по предоставлению субсидии субъектам малого предпринимательства на организацию предпринимательской </w:t>
            </w:r>
            <w:r w:rsidRPr="005C7DBB">
              <w:rPr>
                <w:rFonts w:eastAsia="Calibri"/>
                <w:sz w:val="12"/>
                <w:szCs w:val="12"/>
              </w:rPr>
              <w:lastRenderedPageBreak/>
              <w:t>деятельности (включая вновь зарегистрированных ИП)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lastRenderedPageBreak/>
              <w:t>ОЭР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FFFFFF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lastRenderedPageBreak/>
              <w:t>8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Комитет по управлению муниципальным имуществом (далее – КУМИ)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136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131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47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19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19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39</w:t>
            </w:r>
          </w:p>
        </w:tc>
        <w:tc>
          <w:tcPr>
            <w:tcW w:w="0" w:type="auto"/>
          </w:tcPr>
          <w:p w:rsidR="00742AB6" w:rsidRPr="005C7DBB" w:rsidRDefault="0008568C" w:rsidP="00742AB6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23</w:t>
            </w: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742AB6" w:rsidRPr="005C7DBB" w:rsidRDefault="00742AB6" w:rsidP="00742AB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9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-6,9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-8,7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-10,0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12,5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10,13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14,9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12,4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13,8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08568C" w:rsidRPr="005C7DBB" w:rsidRDefault="0008568C" w:rsidP="0008568C">
            <w:pPr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в том числе</w:t>
            </w:r>
          </w:p>
          <w:p w:rsidR="0008568C" w:rsidRPr="005C7DBB" w:rsidRDefault="0008568C" w:rsidP="0008568C">
            <w:pPr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 количество и площадь земельных участков, единиц/квадратных метров;</w:t>
            </w:r>
          </w:p>
          <w:p w:rsidR="0008568C" w:rsidRPr="005C7DBB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 количество и площадь зданий, строений, сооружений, помещений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единиц/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кв. метров</w:t>
            </w:r>
          </w:p>
        </w:tc>
        <w:tc>
          <w:tcPr>
            <w:tcW w:w="0" w:type="auto"/>
            <w:shd w:val="clear" w:color="auto" w:fill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160/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11921,64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в т.ч.: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- 0/0;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-160/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11921,64</w:t>
            </w:r>
          </w:p>
        </w:tc>
        <w:tc>
          <w:tcPr>
            <w:tcW w:w="0" w:type="auto"/>
            <w:shd w:val="clear" w:color="auto" w:fill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106/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8982,73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в т.ч.: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- 0/0;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-106/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8982,73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104/</w:t>
            </w:r>
          </w:p>
          <w:p w:rsidR="0008568C" w:rsidRPr="005C7DBB" w:rsidRDefault="0008568C" w:rsidP="0008568C">
            <w:pPr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10200,36</w:t>
            </w:r>
          </w:p>
          <w:p w:rsidR="0008568C" w:rsidRPr="005C7DBB" w:rsidRDefault="0008568C" w:rsidP="0008568C">
            <w:pPr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в т.ч.:</w:t>
            </w:r>
          </w:p>
          <w:p w:rsidR="0008568C" w:rsidRPr="005C7DBB" w:rsidRDefault="0008568C" w:rsidP="0008568C">
            <w:pPr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- 0/0;</w:t>
            </w:r>
          </w:p>
          <w:p w:rsidR="0008568C" w:rsidRPr="005C7DBB" w:rsidRDefault="0008568C" w:rsidP="0008568C">
            <w:pPr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- 104/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10200,36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>186/56 662,37 в т.ч.: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62/</w:t>
            </w:r>
          </w:p>
          <w:p w:rsidR="0008568C" w:rsidRPr="005C7DBB" w:rsidRDefault="0008568C" w:rsidP="0008568C">
            <w:pPr>
              <w:jc w:val="center"/>
              <w:rPr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48482,40</w:t>
            </w:r>
            <w:r w:rsidRPr="005C7DBB">
              <w:rPr>
                <w:sz w:val="12"/>
                <w:szCs w:val="12"/>
              </w:rPr>
              <w:t>;</w:t>
            </w:r>
          </w:p>
          <w:p w:rsidR="0008568C" w:rsidRPr="005C7DBB" w:rsidRDefault="0008568C" w:rsidP="0008568C">
            <w:pPr>
              <w:jc w:val="center"/>
              <w:rPr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>-пом. 124/8 179,97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187/73810,27, в т.ч.: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 xml:space="preserve">63/65305,9 </w:t>
            </w:r>
            <w:proofErr w:type="spellStart"/>
            <w:r w:rsidRPr="005C7DBB">
              <w:rPr>
                <w:rFonts w:eastAsia="Calibri"/>
                <w:sz w:val="12"/>
                <w:szCs w:val="12"/>
              </w:rPr>
              <w:t>зем</w:t>
            </w:r>
            <w:proofErr w:type="spellEnd"/>
            <w:r w:rsidRPr="005C7DBB">
              <w:rPr>
                <w:rFonts w:eastAsia="Calibri"/>
                <w:sz w:val="12"/>
                <w:szCs w:val="12"/>
              </w:rPr>
              <w:t>.;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- 124/8504,37 пом.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 xml:space="preserve">135/65 405,26, в т.ч. 59/59 292,70 кв.м – </w:t>
            </w:r>
            <w:proofErr w:type="spellStart"/>
            <w:r w:rsidRPr="005C7DBB">
              <w:rPr>
                <w:rFonts w:eastAsia="Calibri"/>
                <w:sz w:val="12"/>
                <w:szCs w:val="12"/>
              </w:rPr>
              <w:t>зем</w:t>
            </w:r>
            <w:proofErr w:type="spellEnd"/>
            <w:r w:rsidRPr="005C7DBB">
              <w:rPr>
                <w:rFonts w:eastAsia="Calibri"/>
                <w:sz w:val="12"/>
                <w:szCs w:val="12"/>
              </w:rPr>
              <w:t>.; 76/6112,56 кв.м – пом.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137/57 503,2 кв.м, в т.ч.: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proofErr w:type="spellStart"/>
            <w:r w:rsidRPr="005C7DBB">
              <w:rPr>
                <w:rFonts w:eastAsia="Calibri"/>
                <w:sz w:val="12"/>
                <w:szCs w:val="12"/>
              </w:rPr>
              <w:t>зем</w:t>
            </w:r>
            <w:proofErr w:type="spellEnd"/>
            <w:r w:rsidRPr="005C7DBB">
              <w:rPr>
                <w:rFonts w:eastAsia="Calibri"/>
                <w:sz w:val="12"/>
                <w:szCs w:val="12"/>
              </w:rPr>
              <w:t>. Уч.: 40/50377,40 кв.м 98/7125,86 кв.м – пом.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 xml:space="preserve">133/70 7011,93 кв.м, в т.ч.: 46 </w:t>
            </w:r>
            <w:proofErr w:type="spellStart"/>
            <w:r w:rsidRPr="005C7DBB">
              <w:rPr>
                <w:sz w:val="12"/>
                <w:szCs w:val="12"/>
              </w:rPr>
              <w:t>зу</w:t>
            </w:r>
            <w:proofErr w:type="spellEnd"/>
            <w:r w:rsidRPr="005C7DBB">
              <w:rPr>
                <w:sz w:val="12"/>
                <w:szCs w:val="12"/>
              </w:rPr>
              <w:t xml:space="preserve"> /65 067,63 кв.м</w:t>
            </w:r>
            <w:r w:rsidRPr="005C7DBB">
              <w:rPr>
                <w:rFonts w:eastAsia="Calibri"/>
                <w:sz w:val="12"/>
                <w:szCs w:val="12"/>
              </w:rPr>
              <w:t>;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87/5644,33 кв.м - помещения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тыс. рублей</w:t>
            </w:r>
          </w:p>
        </w:tc>
        <w:tc>
          <w:tcPr>
            <w:tcW w:w="0" w:type="auto"/>
            <w:shd w:val="clear" w:color="auto" w:fill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32964,48</w:t>
            </w:r>
          </w:p>
        </w:tc>
        <w:tc>
          <w:tcPr>
            <w:tcW w:w="0" w:type="auto"/>
            <w:shd w:val="clear" w:color="auto" w:fill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31147,11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27681,48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35 074,23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24 109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22 487,30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14 701,6 руб., в т.ч.: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 xml:space="preserve">за аренду </w:t>
            </w:r>
            <w:proofErr w:type="spellStart"/>
            <w:r w:rsidRPr="005C7DBB">
              <w:rPr>
                <w:rFonts w:eastAsia="Calibri"/>
                <w:sz w:val="12"/>
                <w:szCs w:val="12"/>
              </w:rPr>
              <w:t>зу</w:t>
            </w:r>
            <w:proofErr w:type="spellEnd"/>
            <w:r w:rsidRPr="005C7DBB">
              <w:rPr>
                <w:rFonts w:eastAsia="Calibri"/>
                <w:sz w:val="12"/>
                <w:szCs w:val="12"/>
              </w:rPr>
              <w:t xml:space="preserve"> 4 489,5 т. руб., 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за пом. - 10 212,1 т. руб.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 xml:space="preserve">8441,9 -арендная плата по вновь заключенным договорам аренды ЗУ; </w:t>
            </w:r>
            <w:r w:rsidRPr="005C7DBB">
              <w:rPr>
                <w:sz w:val="12"/>
                <w:szCs w:val="12"/>
              </w:rPr>
              <w:t>374,9 – по помещениям.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>Всего по данной категории за 2023: 9 006,6 -за ЗУ;  9 780,5 - за помещения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12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12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46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58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32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14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9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15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891FCC" w:rsidRPr="00891FCC" w:rsidTr="005C7DBB">
        <w:trPr>
          <w:jc w:val="center"/>
        </w:trPr>
        <w:tc>
          <w:tcPr>
            <w:tcW w:w="0" w:type="auto"/>
            <w:vAlign w:val="center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lastRenderedPageBreak/>
              <w:t>15</w:t>
            </w:r>
          </w:p>
        </w:tc>
        <w:tc>
          <w:tcPr>
            <w:tcW w:w="0" w:type="auto"/>
          </w:tcPr>
          <w:p w:rsidR="0008568C" w:rsidRPr="00891FCC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0" w:type="auto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Сосновоборский муниципальный фонд поддержки предпринима-тельства (далее – СМФПП)</w:t>
            </w:r>
          </w:p>
        </w:tc>
        <w:tc>
          <w:tcPr>
            <w:tcW w:w="0" w:type="auto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100</w:t>
            </w:r>
          </w:p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(712 ед.)</w:t>
            </w:r>
          </w:p>
        </w:tc>
        <w:tc>
          <w:tcPr>
            <w:tcW w:w="0" w:type="auto"/>
            <w:shd w:val="clear" w:color="auto" w:fill="FFFFFF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102,6 (731 ед.)</w:t>
            </w:r>
          </w:p>
        </w:tc>
        <w:tc>
          <w:tcPr>
            <w:tcW w:w="0" w:type="auto"/>
            <w:shd w:val="clear" w:color="auto" w:fill="FFFFFF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103,4 (754 ед.)</w:t>
            </w:r>
          </w:p>
        </w:tc>
        <w:tc>
          <w:tcPr>
            <w:tcW w:w="0" w:type="auto"/>
            <w:shd w:val="clear" w:color="auto" w:fill="FFFFFF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102,12 (770 ед.)</w:t>
            </w:r>
          </w:p>
        </w:tc>
        <w:tc>
          <w:tcPr>
            <w:tcW w:w="0" w:type="auto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95</w:t>
            </w:r>
          </w:p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(734 ед.)</w:t>
            </w:r>
          </w:p>
        </w:tc>
        <w:tc>
          <w:tcPr>
            <w:tcW w:w="0" w:type="auto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93,1</w:t>
            </w:r>
          </w:p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(683 ед.)</w:t>
            </w:r>
          </w:p>
        </w:tc>
        <w:tc>
          <w:tcPr>
            <w:tcW w:w="0" w:type="auto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48,1</w:t>
            </w:r>
          </w:p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  <w:r w:rsidRPr="00891FCC">
              <w:rPr>
                <w:rFonts w:eastAsia="Calibri"/>
                <w:sz w:val="12"/>
                <w:szCs w:val="12"/>
              </w:rPr>
              <w:t>(329 ед.)</w:t>
            </w:r>
          </w:p>
        </w:tc>
        <w:tc>
          <w:tcPr>
            <w:tcW w:w="0" w:type="auto"/>
          </w:tcPr>
          <w:p w:rsidR="00823C07" w:rsidRPr="00891FCC" w:rsidRDefault="00823C07" w:rsidP="00891FC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1</w:t>
            </w:r>
            <w:r w:rsidR="00891FCC" w:rsidRPr="00891FCC">
              <w:rPr>
                <w:rFonts w:eastAsia="Calibri"/>
                <w:sz w:val="12"/>
                <w:szCs w:val="12"/>
              </w:rPr>
              <w:t>00,9</w:t>
            </w:r>
          </w:p>
          <w:p w:rsidR="0008568C" w:rsidRPr="00891FCC" w:rsidRDefault="00823C07" w:rsidP="00891FCC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FCC">
              <w:rPr>
                <w:rFonts w:eastAsia="Calibri"/>
                <w:sz w:val="12"/>
                <w:szCs w:val="12"/>
              </w:rPr>
              <w:t>(332 субъекта МСП)</w:t>
            </w:r>
          </w:p>
        </w:tc>
        <w:tc>
          <w:tcPr>
            <w:tcW w:w="0" w:type="auto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891FCC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Темп роста количества субъектов малого и среднего предпринимательства</w:t>
            </w:r>
            <w:r w:rsidRPr="005C7DBB">
              <w:rPr>
                <w:rFonts w:eastAsia="Calibri"/>
                <w:sz w:val="12"/>
                <w:szCs w:val="12"/>
                <w:vertAlign w:val="superscript"/>
              </w:rPr>
              <w:footnoteReference w:id="1"/>
            </w:r>
            <w:r w:rsidRPr="005C7DBB">
              <w:rPr>
                <w:rFonts w:eastAsia="Calibri"/>
                <w:sz w:val="12"/>
                <w:szCs w:val="12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17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0,3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0,27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Информация отсутствует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Информация отсутствует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Информация отсутствует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18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Доля индивидуальных предпринимателей, 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3,2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4,0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5,2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Информация отсутствует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Информация отсутствует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Информация отсутствует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19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100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(6 ед.)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266,6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(16 ед.)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131,2 %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(21 ед.)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 xml:space="preserve">109,5 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(23 ед.)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100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(23 ед.)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117,3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(27 ед.)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107,4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(29 ед.)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-52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(14 СМП, получивших статус соц. предприятие)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100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(4 ед.)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100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(4 ед.)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 xml:space="preserve">120 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(5 ед.)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 xml:space="preserve">160 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(8 ед.)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125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(10)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220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(22 ед.)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104,5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  <w:r w:rsidRPr="004B2202">
              <w:rPr>
                <w:rFonts w:eastAsia="Calibri"/>
                <w:sz w:val="12"/>
                <w:szCs w:val="12"/>
              </w:rPr>
              <w:t>(23 ед.)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40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(14 проектов СМП, получивших статус соц. Предприятие)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5C7DBB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22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99,6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109,1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97,3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145,5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132,5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108,8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108,8</w:t>
            </w:r>
          </w:p>
        </w:tc>
        <w:tc>
          <w:tcPr>
            <w:tcW w:w="0" w:type="auto"/>
          </w:tcPr>
          <w:p w:rsidR="0008568C" w:rsidRPr="004B2202" w:rsidRDefault="003F7EA4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108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5C7DBB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lastRenderedPageBreak/>
              <w:t>23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118,2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132,0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135,5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141,2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148,0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171,0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165,0</w:t>
            </w:r>
          </w:p>
        </w:tc>
        <w:tc>
          <w:tcPr>
            <w:tcW w:w="0" w:type="auto"/>
          </w:tcPr>
          <w:p w:rsidR="0008568C" w:rsidRPr="004B2202" w:rsidRDefault="003F7EA4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184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5C7DBB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65,0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72,0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77,4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86,0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89,0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90,0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85,0</w:t>
            </w:r>
          </w:p>
        </w:tc>
        <w:tc>
          <w:tcPr>
            <w:tcW w:w="0" w:type="auto"/>
          </w:tcPr>
          <w:p w:rsidR="0008568C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90,0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5C7DBB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08568C" w:rsidRPr="004B2202" w:rsidRDefault="0008568C" w:rsidP="0008568C">
            <w:pPr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1) по продаже продовольственных товаров и сельскохозяйственной продукции,</w:t>
            </w:r>
          </w:p>
          <w:p w:rsidR="0008568C" w:rsidRPr="004B2202" w:rsidRDefault="0008568C" w:rsidP="0008568C">
            <w:pPr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 xml:space="preserve">2) по продаже продукции общественного питания, </w:t>
            </w:r>
          </w:p>
          <w:p w:rsidR="0008568C" w:rsidRPr="004B2202" w:rsidRDefault="0008568C" w:rsidP="0008568C">
            <w:pPr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3) по продаже печатной продукции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84558" w:rsidRPr="004B2202" w:rsidRDefault="00F84558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84558" w:rsidRPr="004B2202" w:rsidRDefault="00F84558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84558" w:rsidRPr="004B2202" w:rsidRDefault="00F84558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84558" w:rsidRPr="004B2202" w:rsidRDefault="00F84558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F84558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74,0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244,0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92,0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167,0</w:t>
            </w: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137,5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100,0</w:t>
            </w:r>
          </w:p>
          <w:p w:rsidR="0008568C" w:rsidRPr="004B2202" w:rsidRDefault="0008568C" w:rsidP="0008568C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167,0</w:t>
            </w: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100,4</w:t>
            </w: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200,0</w:t>
            </w: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110,0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108,2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133,3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112,5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99,0</w:t>
            </w: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100,0</w:t>
            </w: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108,0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95,4</w:t>
            </w: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117,0</w:t>
            </w:r>
          </w:p>
          <w:p w:rsidR="0008568C" w:rsidRPr="004B2202" w:rsidRDefault="0008568C" w:rsidP="00F84558">
            <w:pPr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100,0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96,2</w:t>
            </w: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100</w:t>
            </w: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100</w:t>
            </w:r>
          </w:p>
          <w:p w:rsidR="004B2202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5C7DBB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26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120,0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120,3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100,0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100,0</w:t>
            </w:r>
          </w:p>
        </w:tc>
        <w:tc>
          <w:tcPr>
            <w:tcW w:w="0" w:type="auto"/>
          </w:tcPr>
          <w:p w:rsidR="0008568C" w:rsidRPr="004B2202" w:rsidRDefault="003A6221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5C7DBB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27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Количество торговых мест на ярмарках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631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640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1079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798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935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172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994</w:t>
            </w:r>
          </w:p>
        </w:tc>
        <w:tc>
          <w:tcPr>
            <w:tcW w:w="0" w:type="auto"/>
          </w:tcPr>
          <w:p w:rsidR="0008568C" w:rsidRPr="004B2202" w:rsidRDefault="004B2202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480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5C7DBB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28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Количество ярмарочных площадок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08568C" w:rsidRPr="004B2202" w:rsidRDefault="003F7EA4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CF7494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29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92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106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103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60</w:t>
            </w:r>
          </w:p>
        </w:tc>
        <w:tc>
          <w:tcPr>
            <w:tcW w:w="0" w:type="auto"/>
          </w:tcPr>
          <w:p w:rsidR="0008568C" w:rsidRPr="004B2202" w:rsidRDefault="00CF7494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38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5C7DBB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Достижение минимально допустимого уровня обеспеченности  услугами общественного питания</w:t>
            </w:r>
            <w:r w:rsidRPr="004B2202">
              <w:rPr>
                <w:rFonts w:eastAsia="Calibri"/>
                <w:sz w:val="12"/>
                <w:szCs w:val="12"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268,0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299,0</w:t>
            </w:r>
          </w:p>
        </w:tc>
        <w:tc>
          <w:tcPr>
            <w:tcW w:w="0" w:type="auto"/>
          </w:tcPr>
          <w:p w:rsidR="0008568C" w:rsidRPr="004B2202" w:rsidRDefault="00DB5864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310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5C7DBB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Динамика оборота общественного питания к предыдущему периоду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96,7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109,9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105,5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132,4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67,2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88,3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78,0</w:t>
            </w:r>
          </w:p>
        </w:tc>
        <w:tc>
          <w:tcPr>
            <w:tcW w:w="0" w:type="auto"/>
          </w:tcPr>
          <w:p w:rsidR="0008568C" w:rsidRPr="004B2202" w:rsidRDefault="003F7EA4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81,8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5C7DBB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32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Достижение минимально допустимого уровня обеспеченности  услугами бытового обслуживания</w:t>
            </w:r>
            <w:r w:rsidRPr="004B2202">
              <w:rPr>
                <w:rFonts w:eastAsia="Calibri"/>
                <w:sz w:val="12"/>
                <w:szCs w:val="12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188,0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194,0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224,0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230,0</w:t>
            </w:r>
          </w:p>
        </w:tc>
        <w:tc>
          <w:tcPr>
            <w:tcW w:w="0" w:type="auto"/>
          </w:tcPr>
          <w:p w:rsidR="0008568C" w:rsidRPr="004B2202" w:rsidRDefault="00DB5864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240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5C7DBB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lastRenderedPageBreak/>
              <w:t>33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Динамика оборота бытовых услуг к предыдущему периоду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122,8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91,1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118,8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110,1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98,1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140,4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193,0</w:t>
            </w:r>
          </w:p>
        </w:tc>
        <w:tc>
          <w:tcPr>
            <w:tcW w:w="0" w:type="auto"/>
          </w:tcPr>
          <w:p w:rsidR="0008568C" w:rsidRPr="004B2202" w:rsidRDefault="00DB5864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104,2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Доля субъектов МСП, участвовавших в мероприятиях по обучению 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8,24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(191 ед.)</w:t>
            </w:r>
          </w:p>
        </w:tc>
        <w:tc>
          <w:tcPr>
            <w:tcW w:w="0" w:type="auto"/>
            <w:shd w:val="clear" w:color="auto" w:fill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7,63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(254 ед.)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 xml:space="preserve">8,47 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(173 ед.)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4,14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(78 ед.)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4,6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(90)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3,1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 xml:space="preserve"> (61ед.)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3,1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(62 чел.)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Отдел муниципального заказа (ОМЗ)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15,22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sz w:val="12"/>
                <w:szCs w:val="12"/>
              </w:rPr>
              <w:t>13,4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sz w:val="12"/>
                <w:szCs w:val="12"/>
              </w:rPr>
              <w:t>35,72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48,03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26,75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32,86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29,43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49,91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36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400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400</w:t>
            </w:r>
          </w:p>
        </w:tc>
        <w:tc>
          <w:tcPr>
            <w:tcW w:w="0" w:type="auto"/>
            <w:shd w:val="clear" w:color="auto" w:fill="FFFFFF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240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273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349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479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885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661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5683B" w:rsidRPr="0025683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37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sz w:val="12"/>
                <w:szCs w:val="12"/>
              </w:rPr>
            </w:pPr>
            <w:r w:rsidRPr="004B2202">
              <w:rPr>
                <w:sz w:val="12"/>
                <w:szCs w:val="12"/>
              </w:rPr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0" w:type="auto"/>
            <w:shd w:val="clear" w:color="auto" w:fill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0,8</w:t>
            </w:r>
          </w:p>
        </w:tc>
        <w:tc>
          <w:tcPr>
            <w:tcW w:w="0" w:type="auto"/>
            <w:shd w:val="clear" w:color="auto" w:fill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0,8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0,9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2,17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3,54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1,29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25683B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1,7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25683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38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sz w:val="12"/>
                <w:szCs w:val="12"/>
              </w:rPr>
            </w:pPr>
            <w:r w:rsidRPr="004B2202">
              <w:rPr>
                <w:sz w:val="12"/>
                <w:szCs w:val="12"/>
              </w:rPr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sz w:val="12"/>
                <w:szCs w:val="12"/>
              </w:rPr>
              <w:t>единиц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39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sz w:val="12"/>
                <w:szCs w:val="12"/>
              </w:rPr>
            </w:pPr>
            <w:r w:rsidRPr="004B2202">
              <w:rPr>
                <w:sz w:val="12"/>
                <w:szCs w:val="12"/>
              </w:rPr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sz w:val="12"/>
                <w:szCs w:val="12"/>
              </w:rPr>
              <w:t>единиц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945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  <w:lang w:val="en-US"/>
              </w:rPr>
            </w:pPr>
            <w:r w:rsidRPr="004B2202">
              <w:rPr>
                <w:rFonts w:eastAsia="Calibri"/>
                <w:sz w:val="12"/>
                <w:szCs w:val="12"/>
              </w:rPr>
              <w:t>971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975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1050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3105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3176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2004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2406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40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spacing w:after="120"/>
              <w:rPr>
                <w:sz w:val="12"/>
                <w:szCs w:val="12"/>
              </w:rPr>
            </w:pPr>
            <w:r w:rsidRPr="004B2202">
              <w:rPr>
                <w:sz w:val="12"/>
                <w:szCs w:val="12"/>
              </w:rPr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sz w:val="12"/>
                <w:szCs w:val="12"/>
              </w:rPr>
              <w:t>%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-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7,6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(207 ед.)</w:t>
            </w:r>
          </w:p>
        </w:tc>
        <w:tc>
          <w:tcPr>
            <w:tcW w:w="0" w:type="auto"/>
            <w:shd w:val="clear" w:color="auto" w:fill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8,5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(226 ед.)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19,25 (393 ед.)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155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(612 ед.)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35,6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 xml:space="preserve">(683 </w:t>
            </w:r>
            <w:proofErr w:type="spellStart"/>
            <w:r w:rsidRPr="004B2202">
              <w:rPr>
                <w:rFonts w:eastAsia="Calibri"/>
                <w:sz w:val="12"/>
                <w:szCs w:val="12"/>
              </w:rPr>
              <w:t>ед</w:t>
            </w:r>
            <w:proofErr w:type="spellEnd"/>
            <w:r w:rsidRPr="004B2202">
              <w:rPr>
                <w:rFonts w:eastAsia="Calibri"/>
                <w:sz w:val="12"/>
                <w:szCs w:val="12"/>
              </w:rPr>
              <w:t>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17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 xml:space="preserve"> (329 ед.)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>16</w:t>
            </w:r>
          </w:p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4B2202">
              <w:rPr>
                <w:rFonts w:eastAsia="Calibri"/>
                <w:sz w:val="12"/>
                <w:szCs w:val="12"/>
              </w:rPr>
              <w:t xml:space="preserve">(332 </w:t>
            </w:r>
            <w:proofErr w:type="spellStart"/>
            <w:r w:rsidRPr="004B2202">
              <w:rPr>
                <w:rFonts w:eastAsia="Calibri"/>
                <w:sz w:val="12"/>
                <w:szCs w:val="12"/>
              </w:rPr>
              <w:t>ед</w:t>
            </w:r>
            <w:proofErr w:type="spellEnd"/>
            <w:r w:rsidRPr="004B2202">
              <w:rPr>
                <w:rFonts w:eastAsia="Calibri"/>
                <w:sz w:val="12"/>
                <w:szCs w:val="12"/>
              </w:rPr>
              <w:t xml:space="preserve"> к 1984 СМП.)</w:t>
            </w: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4B220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spacing w:after="120"/>
              <w:rPr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 xml:space="preserve">Количество созданных полностью или частично за счет средств местного бюджета следующих типов организаций инфраструктуры имущественной поддержки: </w:t>
            </w:r>
          </w:p>
          <w:p w:rsidR="0008568C" w:rsidRPr="005C7DBB" w:rsidRDefault="0008568C" w:rsidP="0008568C">
            <w:pPr>
              <w:spacing w:after="120"/>
              <w:rPr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 xml:space="preserve">технопарк, </w:t>
            </w:r>
          </w:p>
          <w:p w:rsidR="0008568C" w:rsidRPr="005C7DBB" w:rsidRDefault="0008568C" w:rsidP="0008568C">
            <w:pPr>
              <w:spacing w:after="120"/>
              <w:rPr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lastRenderedPageBreak/>
              <w:t xml:space="preserve">промышленный (индустриальный) парк, </w:t>
            </w:r>
          </w:p>
          <w:p w:rsidR="0008568C" w:rsidRPr="005C7DBB" w:rsidRDefault="0008568C" w:rsidP="0008568C">
            <w:pPr>
              <w:spacing w:after="120"/>
              <w:rPr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 xml:space="preserve">бизнес-инкубатор, </w:t>
            </w:r>
          </w:p>
          <w:p w:rsidR="0008568C" w:rsidRPr="005C7DBB" w:rsidRDefault="0008568C" w:rsidP="0008568C">
            <w:pPr>
              <w:spacing w:after="120"/>
              <w:rPr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>другие виды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lastRenderedPageBreak/>
              <w:t>ОЭР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>единиц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lastRenderedPageBreak/>
              <w:t>42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spacing w:after="120"/>
              <w:rPr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 xml:space="preserve">Наполняемость организаций инфраструктуры имущественной поддержки (технопарки, промышленные (индустриальные) парки, бизнес-инкубаторы 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>%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ОБИ –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58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ПБИ - 70,5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ОБИ -100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ПБИ -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85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ОБИ -100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ПБИ -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85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ОБИ - 75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ПБИ -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45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ОБИ - 71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ПБИ -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88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ОБИ – 100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ПБИ - 100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ОБИ – 100</w:t>
            </w:r>
          </w:p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  <w:r w:rsidRPr="005C7DBB">
              <w:rPr>
                <w:rFonts w:eastAsia="Calibri"/>
                <w:sz w:val="12"/>
                <w:szCs w:val="12"/>
              </w:rPr>
              <w:t>ПБИ - 100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100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9C24F2" w:rsidRPr="009C24F2" w:rsidTr="005C7DBB">
        <w:trPr>
          <w:jc w:val="center"/>
        </w:trPr>
        <w:tc>
          <w:tcPr>
            <w:tcW w:w="0" w:type="auto"/>
            <w:vAlign w:val="center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9C24F2">
              <w:rPr>
                <w:rFonts w:eastAsia="Calibri"/>
                <w:sz w:val="12"/>
                <w:szCs w:val="12"/>
              </w:rPr>
              <w:t>43</w:t>
            </w:r>
          </w:p>
        </w:tc>
        <w:tc>
          <w:tcPr>
            <w:tcW w:w="0" w:type="auto"/>
          </w:tcPr>
          <w:p w:rsidR="0008568C" w:rsidRPr="009C24F2" w:rsidRDefault="0008568C" w:rsidP="0008568C">
            <w:pPr>
              <w:spacing w:after="120"/>
              <w:rPr>
                <w:sz w:val="12"/>
                <w:szCs w:val="12"/>
              </w:rPr>
            </w:pPr>
            <w:r w:rsidRPr="009C24F2">
              <w:rPr>
                <w:sz w:val="12"/>
                <w:szCs w:val="12"/>
              </w:rPr>
              <w:t>Количество проведенных ярмарок в год</w:t>
            </w:r>
          </w:p>
        </w:tc>
        <w:tc>
          <w:tcPr>
            <w:tcW w:w="0" w:type="auto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9C24F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9C24F2">
              <w:rPr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FFFFFF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9C24F2">
              <w:rPr>
                <w:rFonts w:eastAsia="Calibri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9C24F2">
              <w:rPr>
                <w:rFonts w:eastAsia="Calibri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9C24F2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9C24F2">
              <w:rPr>
                <w:rFonts w:eastAsia="Calibri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FFFFFF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9C24F2">
              <w:rPr>
                <w:rFonts w:eastAsia="Calibri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9C24F2">
              <w:rPr>
                <w:rFonts w:eastAsia="Calibri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9C24F2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0" w:type="auto"/>
          </w:tcPr>
          <w:p w:rsidR="0008568C" w:rsidRPr="009C24F2" w:rsidRDefault="003F7EA4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9C24F2">
              <w:rPr>
                <w:rFonts w:eastAsia="Calibri"/>
                <w:sz w:val="12"/>
                <w:szCs w:val="12"/>
              </w:rPr>
              <w:t>15</w:t>
            </w:r>
          </w:p>
        </w:tc>
        <w:tc>
          <w:tcPr>
            <w:tcW w:w="0" w:type="auto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9C24F2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44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Количество заседаний н</w:t>
            </w:r>
            <w:r w:rsidRPr="005C7DBB">
              <w:rPr>
                <w:rFonts w:eastAsia="Calibri"/>
                <w:sz w:val="12"/>
                <w:szCs w:val="12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5C7DBB">
              <w:rPr>
                <w:rFonts w:eastAsia="Calibri"/>
                <w:sz w:val="12"/>
                <w:szCs w:val="12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Комитет архитектуры, градостроительства и землепользования (КАГиЗ)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единиц (не менее 4 в год)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15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9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8568C" w:rsidRPr="005C7DBB" w:rsidTr="005C7DBB">
        <w:trPr>
          <w:trHeight w:val="1118"/>
          <w:jc w:val="center"/>
        </w:trPr>
        <w:tc>
          <w:tcPr>
            <w:tcW w:w="0" w:type="auto"/>
            <w:vAlign w:val="center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45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spacing w:after="120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Количество самозанятых, включая индивидуальных предпринимателей и физических лиц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>единиц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932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2034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rFonts w:eastAsia="Calibri"/>
                <w:sz w:val="12"/>
                <w:szCs w:val="12"/>
              </w:rPr>
              <w:t>2319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  <w:r w:rsidRPr="005C7DBB">
              <w:rPr>
                <w:sz w:val="12"/>
                <w:szCs w:val="12"/>
              </w:rPr>
              <w:t>3983</w:t>
            </w: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0" w:type="auto"/>
          </w:tcPr>
          <w:p w:rsidR="0008568C" w:rsidRPr="005C7DBB" w:rsidRDefault="0008568C" w:rsidP="0008568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p w:rsidR="006D1DB2" w:rsidRPr="0051742B" w:rsidRDefault="006D1DB2" w:rsidP="006D1DB2">
      <w:pPr>
        <w:rPr>
          <w:color w:val="FF0000"/>
        </w:rPr>
      </w:pPr>
    </w:p>
    <w:p w:rsidR="005A69F2" w:rsidRDefault="005A69F2" w:rsidP="005A69F2">
      <w:r>
        <w:t>* - включая микропредприятия, ИП и плательщиков НПД (без ИП);</w:t>
      </w:r>
    </w:p>
    <w:p w:rsidR="005A69F2" w:rsidRPr="00205421" w:rsidRDefault="005A69F2" w:rsidP="005A69F2">
      <w:r>
        <w:t xml:space="preserve">** - данные будут представлены до 01 июня </w:t>
      </w:r>
      <w:proofErr w:type="spellStart"/>
      <w:r>
        <w:t>т.г</w:t>
      </w:r>
      <w:proofErr w:type="spellEnd"/>
      <w:r>
        <w:t>.</w:t>
      </w:r>
    </w:p>
    <w:p w:rsidR="00986B56" w:rsidRPr="0051742B" w:rsidRDefault="00986B56">
      <w:pPr>
        <w:rPr>
          <w:color w:val="FF0000"/>
        </w:rPr>
      </w:pPr>
      <w:bookmarkStart w:id="0" w:name="_GoBack"/>
      <w:bookmarkEnd w:id="0"/>
    </w:p>
    <w:sectPr w:rsidR="00986B56" w:rsidRPr="0051742B" w:rsidSect="00D73CE8">
      <w:headerReference w:type="default" r:id="rId6"/>
      <w:pgSz w:w="16838" w:h="11906" w:orient="landscape"/>
      <w:pgMar w:top="85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A4" w:rsidRDefault="003F7EA4" w:rsidP="006D1DB2">
      <w:r>
        <w:separator/>
      </w:r>
    </w:p>
  </w:endnote>
  <w:endnote w:type="continuationSeparator" w:id="0">
    <w:p w:rsidR="003F7EA4" w:rsidRDefault="003F7EA4" w:rsidP="006D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A4" w:rsidRDefault="003F7EA4" w:rsidP="006D1DB2">
      <w:r>
        <w:separator/>
      </w:r>
    </w:p>
  </w:footnote>
  <w:footnote w:type="continuationSeparator" w:id="0">
    <w:p w:rsidR="003F7EA4" w:rsidRDefault="003F7EA4" w:rsidP="006D1DB2">
      <w:r>
        <w:continuationSeparator/>
      </w:r>
    </w:p>
  </w:footnote>
  <w:footnote w:id="1">
    <w:p w:rsidR="003F7EA4" w:rsidRPr="00F75F59" w:rsidRDefault="003F7EA4" w:rsidP="006D1DB2">
      <w:pPr>
        <w:pStyle w:val="a5"/>
        <w:rPr>
          <w:rFonts w:ascii="Times New Roman" w:hAnsi="Times New Roman"/>
          <w:sz w:val="16"/>
          <w:szCs w:val="16"/>
        </w:rPr>
      </w:pPr>
      <w:r w:rsidRPr="00F75F59">
        <w:rPr>
          <w:rStyle w:val="a7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</w:p>
  </w:footnote>
  <w:footnote w:id="2">
    <w:p w:rsidR="003F7EA4" w:rsidRPr="00F75F59" w:rsidRDefault="003F7EA4" w:rsidP="006D1DB2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7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3F7EA4" w:rsidRDefault="003F7EA4" w:rsidP="006D1DB2">
      <w:pPr>
        <w:pStyle w:val="a5"/>
        <w:jc w:val="both"/>
      </w:pPr>
      <w:r w:rsidRPr="00F75F59">
        <w:rPr>
          <w:rStyle w:val="a7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A4" w:rsidRDefault="003F7E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7518400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1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F7EA4" w:rsidRPr="00D42AC2" w:rsidRDefault="003F7EA4" w:rsidP="00D42AC2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6405208/830695(1)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left:0;text-align:left;margin-left:592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" filled="f" fillcolor="#4f81bd [3204]" stroked="f" strokecolor="#243f60 [1604]" strokeweight="2pt">
              <v:textbox inset="0,0,0,0">
                <w:txbxContent>
                  <w:p w:rsidR="00D42AC2" w:rsidRPr="00D42AC2" w:rsidRDefault="00D42AC2" w:rsidP="00D42AC2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6405208/830695(1)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e5715e9-1c10-474a-9c8b-75bac96cb8fd"/>
  </w:docVars>
  <w:rsids>
    <w:rsidRoot w:val="006D1DB2"/>
    <w:rsid w:val="000230E3"/>
    <w:rsid w:val="00032969"/>
    <w:rsid w:val="00046AA9"/>
    <w:rsid w:val="00057AB4"/>
    <w:rsid w:val="00061FBC"/>
    <w:rsid w:val="0008568C"/>
    <w:rsid w:val="000946DF"/>
    <w:rsid w:val="000B0B5B"/>
    <w:rsid w:val="000D3A9E"/>
    <w:rsid w:val="000D578B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443A2"/>
    <w:rsid w:val="0025683B"/>
    <w:rsid w:val="00277DBE"/>
    <w:rsid w:val="002A527B"/>
    <w:rsid w:val="002B5CAE"/>
    <w:rsid w:val="002B666D"/>
    <w:rsid w:val="002C3CAB"/>
    <w:rsid w:val="002C3D81"/>
    <w:rsid w:val="002C40DC"/>
    <w:rsid w:val="002E24E2"/>
    <w:rsid w:val="003046CE"/>
    <w:rsid w:val="003135E2"/>
    <w:rsid w:val="00325614"/>
    <w:rsid w:val="00344061"/>
    <w:rsid w:val="00350109"/>
    <w:rsid w:val="003669CE"/>
    <w:rsid w:val="003A6221"/>
    <w:rsid w:val="003B6065"/>
    <w:rsid w:val="003C073C"/>
    <w:rsid w:val="003C4698"/>
    <w:rsid w:val="003C4AD1"/>
    <w:rsid w:val="003D05AE"/>
    <w:rsid w:val="003D5E43"/>
    <w:rsid w:val="003F0629"/>
    <w:rsid w:val="003F7EA4"/>
    <w:rsid w:val="004035FE"/>
    <w:rsid w:val="0040422C"/>
    <w:rsid w:val="00422AA7"/>
    <w:rsid w:val="00470D2D"/>
    <w:rsid w:val="00485F3C"/>
    <w:rsid w:val="004B2202"/>
    <w:rsid w:val="004B6878"/>
    <w:rsid w:val="004D48F8"/>
    <w:rsid w:val="004F4405"/>
    <w:rsid w:val="00501B8C"/>
    <w:rsid w:val="00502B04"/>
    <w:rsid w:val="00515AAE"/>
    <w:rsid w:val="0051742B"/>
    <w:rsid w:val="005248DB"/>
    <w:rsid w:val="00527CCB"/>
    <w:rsid w:val="005425F4"/>
    <w:rsid w:val="0054739C"/>
    <w:rsid w:val="005521C7"/>
    <w:rsid w:val="00581341"/>
    <w:rsid w:val="00593C63"/>
    <w:rsid w:val="005A3BC9"/>
    <w:rsid w:val="005A51CA"/>
    <w:rsid w:val="005A69F2"/>
    <w:rsid w:val="005B1935"/>
    <w:rsid w:val="005B1B7B"/>
    <w:rsid w:val="005C7DB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B42FF"/>
    <w:rsid w:val="006D1DB2"/>
    <w:rsid w:val="006D3233"/>
    <w:rsid w:val="006F2C51"/>
    <w:rsid w:val="006F3886"/>
    <w:rsid w:val="007158B7"/>
    <w:rsid w:val="007167F0"/>
    <w:rsid w:val="0071788D"/>
    <w:rsid w:val="007222FE"/>
    <w:rsid w:val="00723B7C"/>
    <w:rsid w:val="00730E3B"/>
    <w:rsid w:val="007362DD"/>
    <w:rsid w:val="00742AB6"/>
    <w:rsid w:val="00766982"/>
    <w:rsid w:val="00771252"/>
    <w:rsid w:val="007A54EC"/>
    <w:rsid w:val="007A7201"/>
    <w:rsid w:val="007B2BB7"/>
    <w:rsid w:val="007E321A"/>
    <w:rsid w:val="008044F5"/>
    <w:rsid w:val="00805F1E"/>
    <w:rsid w:val="00821021"/>
    <w:rsid w:val="00823C07"/>
    <w:rsid w:val="0084000B"/>
    <w:rsid w:val="008554B1"/>
    <w:rsid w:val="0086142F"/>
    <w:rsid w:val="00867216"/>
    <w:rsid w:val="00881227"/>
    <w:rsid w:val="0088303D"/>
    <w:rsid w:val="0089150D"/>
    <w:rsid w:val="00891FCC"/>
    <w:rsid w:val="008B74AE"/>
    <w:rsid w:val="008D33EF"/>
    <w:rsid w:val="008D7255"/>
    <w:rsid w:val="008D787C"/>
    <w:rsid w:val="008E6448"/>
    <w:rsid w:val="008F16A3"/>
    <w:rsid w:val="008F2045"/>
    <w:rsid w:val="008F6D58"/>
    <w:rsid w:val="00911E52"/>
    <w:rsid w:val="00917BF1"/>
    <w:rsid w:val="00941FC4"/>
    <w:rsid w:val="00965960"/>
    <w:rsid w:val="00973345"/>
    <w:rsid w:val="0098408B"/>
    <w:rsid w:val="00986B56"/>
    <w:rsid w:val="00987A60"/>
    <w:rsid w:val="009A33C7"/>
    <w:rsid w:val="009B5442"/>
    <w:rsid w:val="009C0DD1"/>
    <w:rsid w:val="009C21FC"/>
    <w:rsid w:val="009C24F2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1799"/>
    <w:rsid w:val="00B4728B"/>
    <w:rsid w:val="00B57C22"/>
    <w:rsid w:val="00B60B84"/>
    <w:rsid w:val="00B774FA"/>
    <w:rsid w:val="00B9421C"/>
    <w:rsid w:val="00BB4E06"/>
    <w:rsid w:val="00BC62EF"/>
    <w:rsid w:val="00BC7377"/>
    <w:rsid w:val="00BE11B1"/>
    <w:rsid w:val="00BF45AB"/>
    <w:rsid w:val="00BF4675"/>
    <w:rsid w:val="00C02801"/>
    <w:rsid w:val="00C06573"/>
    <w:rsid w:val="00C36BD0"/>
    <w:rsid w:val="00C47B1D"/>
    <w:rsid w:val="00C67E2C"/>
    <w:rsid w:val="00C8162D"/>
    <w:rsid w:val="00C90755"/>
    <w:rsid w:val="00C96D26"/>
    <w:rsid w:val="00CC6781"/>
    <w:rsid w:val="00CD2109"/>
    <w:rsid w:val="00CE2E9C"/>
    <w:rsid w:val="00CE6C83"/>
    <w:rsid w:val="00CF09E7"/>
    <w:rsid w:val="00CF44EE"/>
    <w:rsid w:val="00CF7494"/>
    <w:rsid w:val="00D2090E"/>
    <w:rsid w:val="00D257E2"/>
    <w:rsid w:val="00D340BD"/>
    <w:rsid w:val="00D42AC2"/>
    <w:rsid w:val="00D547AD"/>
    <w:rsid w:val="00D6009D"/>
    <w:rsid w:val="00D606A3"/>
    <w:rsid w:val="00D71842"/>
    <w:rsid w:val="00D73CE8"/>
    <w:rsid w:val="00DA5A23"/>
    <w:rsid w:val="00DA72CC"/>
    <w:rsid w:val="00DB5864"/>
    <w:rsid w:val="00DB6983"/>
    <w:rsid w:val="00E047A5"/>
    <w:rsid w:val="00E30882"/>
    <w:rsid w:val="00E31896"/>
    <w:rsid w:val="00E4356E"/>
    <w:rsid w:val="00E47A52"/>
    <w:rsid w:val="00E76055"/>
    <w:rsid w:val="00E93526"/>
    <w:rsid w:val="00EA1276"/>
    <w:rsid w:val="00EA1CBD"/>
    <w:rsid w:val="00EA1FC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793"/>
    <w:rsid w:val="00F00BAF"/>
    <w:rsid w:val="00F15D94"/>
    <w:rsid w:val="00F37141"/>
    <w:rsid w:val="00F40E67"/>
    <w:rsid w:val="00F52D90"/>
    <w:rsid w:val="00F61776"/>
    <w:rsid w:val="00F758B4"/>
    <w:rsid w:val="00F84558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A82E725-0B2B-411F-B090-AB40EF0F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DB2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4">
    <w:name w:val="Верхний колонтитул Знак"/>
    <w:basedOn w:val="a0"/>
    <w:link w:val="a3"/>
    <w:rsid w:val="006D1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6D1DB2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6D1DB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6D1DB2"/>
    <w:rPr>
      <w:vertAlign w:val="superscript"/>
    </w:rPr>
  </w:style>
  <w:style w:type="paragraph" w:styleId="a8">
    <w:name w:val="footer"/>
    <w:basedOn w:val="a"/>
    <w:link w:val="a9"/>
    <w:rsid w:val="006D1D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1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3C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3C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2024-03-26T11:20:00Z</cp:lastPrinted>
  <dcterms:created xsi:type="dcterms:W3CDTF">2024-04-02T08:18:00Z</dcterms:created>
  <dcterms:modified xsi:type="dcterms:W3CDTF">2024-04-02T08:18:00Z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b61b33bd-1261-4aee-8e06-acba7f3a0aa2</vt:lpwstr>
  </property>
</Properties>
</file>