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D4D3" w14:textId="77777777" w:rsidR="00DD569A" w:rsidRPr="008322A3" w:rsidRDefault="00D461AF" w:rsidP="00DD569A">
      <w:pPr>
        <w:pStyle w:val="ConsPlusNonformat"/>
        <w:widowControl/>
      </w:pPr>
      <w:r>
        <w:rPr>
          <w:noProof/>
        </w:rPr>
        <w:pict w14:anchorId="6025F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5.65pt;width:42.85pt;height:54.9pt;z-index:1">
            <v:imagedata r:id="rId5" o:title="gerb"/>
            <w10:wrap type="topAndBottom"/>
          </v:shape>
        </w:pict>
      </w:r>
    </w:p>
    <w:p w14:paraId="1E558A6E" w14:textId="77777777"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2AC6777" w14:textId="77777777"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3B0A2157" w14:textId="77777777" w:rsidR="00DD569A" w:rsidRDefault="00DD569A" w:rsidP="00DD569A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0EADC9AB" w14:textId="77777777" w:rsidR="00DD569A" w:rsidRDefault="00DD569A" w:rsidP="00DD569A">
      <w:pPr>
        <w:pStyle w:val="ConsPlusNonformat"/>
        <w:widowControl/>
      </w:pPr>
    </w:p>
    <w:p w14:paraId="568699C8" w14:textId="77777777" w:rsidR="00B8347D" w:rsidRPr="001F79FE" w:rsidRDefault="00B8347D" w:rsidP="00B8347D">
      <w:pPr>
        <w:pStyle w:val="3"/>
        <w:jc w:val="center"/>
        <w:rPr>
          <w:sz w:val="24"/>
          <w:szCs w:val="24"/>
        </w:rPr>
      </w:pPr>
      <w:r w:rsidRPr="001F79FE">
        <w:rPr>
          <w:sz w:val="24"/>
          <w:szCs w:val="24"/>
        </w:rPr>
        <w:t>ПРИКАЗ</w:t>
      </w:r>
    </w:p>
    <w:p w14:paraId="04C66B65" w14:textId="77777777" w:rsidR="00B8347D" w:rsidRPr="001F79FE" w:rsidRDefault="00B8347D" w:rsidP="00B8347D">
      <w:pPr>
        <w:jc w:val="both"/>
        <w:rPr>
          <w:b/>
        </w:rPr>
      </w:pPr>
    </w:p>
    <w:p w14:paraId="4B12BE15" w14:textId="3C4BA7DA" w:rsidR="00B8347D" w:rsidRPr="00184C17" w:rsidRDefault="00B8347D" w:rsidP="00B8347D">
      <w:pPr>
        <w:jc w:val="both"/>
        <w:rPr>
          <w:b/>
        </w:rPr>
      </w:pPr>
      <w:r>
        <w:rPr>
          <w:b/>
        </w:rPr>
        <w:t>2</w:t>
      </w:r>
      <w:r w:rsidR="009B375C">
        <w:rPr>
          <w:b/>
        </w:rPr>
        <w:t>3</w:t>
      </w:r>
      <w:r>
        <w:rPr>
          <w:b/>
        </w:rPr>
        <w:t>.12.202</w:t>
      </w:r>
      <w:r w:rsidR="009B375C">
        <w:rPr>
          <w:b/>
        </w:rPr>
        <w:t>1</w:t>
      </w:r>
      <w:r>
        <w:rPr>
          <w:b/>
        </w:rPr>
        <w:t xml:space="preserve">                                                                                                                № 2</w:t>
      </w:r>
      <w:r w:rsidR="009B375C">
        <w:rPr>
          <w:b/>
        </w:rPr>
        <w:t>3</w:t>
      </w:r>
      <w:r>
        <w:rPr>
          <w:b/>
        </w:rPr>
        <w:t>/04-02</w:t>
      </w:r>
    </w:p>
    <w:p w14:paraId="291314E8" w14:textId="77777777" w:rsidR="00B8347D" w:rsidRPr="00184C17" w:rsidRDefault="00B8347D" w:rsidP="00B8347D"/>
    <w:p w14:paraId="5C15C3A0" w14:textId="77777777" w:rsidR="00B8347D" w:rsidRPr="00F73FA9" w:rsidRDefault="00B8347D" w:rsidP="00B8347D">
      <w:pPr>
        <w:jc w:val="center"/>
        <w:rPr>
          <w:sz w:val="10"/>
          <w:szCs w:val="10"/>
        </w:rPr>
      </w:pPr>
    </w:p>
    <w:p w14:paraId="49FEA592" w14:textId="77777777" w:rsidR="00B8347D" w:rsidRDefault="00B8347D" w:rsidP="00B8347D">
      <w:pPr>
        <w:autoSpaceDE w:val="0"/>
        <w:autoSpaceDN w:val="0"/>
        <w:adjustRightInd w:val="0"/>
      </w:pPr>
      <w:r w:rsidRPr="004D4D05">
        <w:t>О</w:t>
      </w:r>
      <w:r>
        <w:t>б утверждении</w:t>
      </w:r>
      <w:r w:rsidRPr="004D4D05">
        <w:t xml:space="preserve"> </w:t>
      </w:r>
      <w:r>
        <w:t>плана работы Контрольно-счетной палаты</w:t>
      </w:r>
    </w:p>
    <w:p w14:paraId="4922A0B7" w14:textId="77777777" w:rsidR="00B8347D" w:rsidRDefault="00B8347D" w:rsidP="00B8347D">
      <w:pPr>
        <w:autoSpaceDE w:val="0"/>
        <w:autoSpaceDN w:val="0"/>
        <w:adjustRightInd w:val="0"/>
      </w:pPr>
      <w:r>
        <w:t xml:space="preserve">Сосновоборского городского округа </w:t>
      </w:r>
    </w:p>
    <w:p w14:paraId="507C5BAE" w14:textId="03CDA010" w:rsidR="00B8347D" w:rsidRPr="00B8347D" w:rsidRDefault="00B8347D" w:rsidP="00B8347D">
      <w:pPr>
        <w:autoSpaceDE w:val="0"/>
        <w:autoSpaceDN w:val="0"/>
        <w:adjustRightInd w:val="0"/>
        <w:rPr>
          <w:rFonts w:eastAsia="Calibri"/>
          <w:lang w:eastAsia="en-US"/>
        </w:rPr>
      </w:pPr>
      <w:r>
        <w:t>на 1 квартал 202</w:t>
      </w:r>
      <w:r w:rsidR="009B375C">
        <w:t>2</w:t>
      </w:r>
      <w:r>
        <w:t xml:space="preserve"> года</w:t>
      </w:r>
    </w:p>
    <w:p w14:paraId="4DD5FBD3" w14:textId="77777777" w:rsidR="00B8347D" w:rsidRPr="00B8347D" w:rsidRDefault="00B8347D" w:rsidP="00B8347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52AB0C9" w14:textId="77777777" w:rsidR="00B8347D" w:rsidRPr="00B8347D" w:rsidRDefault="00B8347D" w:rsidP="00B8347D">
      <w:pPr>
        <w:autoSpaceDE w:val="0"/>
        <w:autoSpaceDN w:val="0"/>
        <w:adjustRightInd w:val="0"/>
        <w:ind w:right="729"/>
        <w:rPr>
          <w:rFonts w:eastAsia="Calibri"/>
          <w:lang w:eastAsia="en-US"/>
        </w:rPr>
      </w:pPr>
    </w:p>
    <w:p w14:paraId="71CCCE68" w14:textId="77777777" w:rsidR="00B8347D" w:rsidRPr="0049374A" w:rsidRDefault="00B8347D" w:rsidP="00B8347D">
      <w:pPr>
        <w:autoSpaceDE w:val="0"/>
        <w:autoSpaceDN w:val="0"/>
        <w:adjustRightInd w:val="0"/>
        <w:ind w:right="729" w:firstLine="851"/>
        <w:jc w:val="both"/>
        <w:rPr>
          <w:b/>
          <w:bCs/>
        </w:rPr>
      </w:pPr>
      <w:r>
        <w:t xml:space="preserve">В соответствии со стандартом организации деятельности (СОД) 0-01 «Планирование работы Контрольно-счетной палаты муниципального образования Сосновоборский городской округ Ленинградской области, </w:t>
      </w:r>
      <w:r w:rsidRPr="0049374A">
        <w:rPr>
          <w:b/>
          <w:bCs/>
        </w:rPr>
        <w:t>приказываю:</w:t>
      </w:r>
    </w:p>
    <w:p w14:paraId="59175F3F" w14:textId="77777777" w:rsidR="00B8347D" w:rsidRDefault="00B8347D" w:rsidP="00B8347D">
      <w:pPr>
        <w:autoSpaceDE w:val="0"/>
        <w:autoSpaceDN w:val="0"/>
        <w:adjustRightInd w:val="0"/>
        <w:ind w:right="729" w:firstLine="851"/>
        <w:jc w:val="both"/>
      </w:pPr>
    </w:p>
    <w:p w14:paraId="70ADCA47" w14:textId="04A4D006" w:rsidR="00B8347D" w:rsidRPr="00B8347D" w:rsidRDefault="00B8347D" w:rsidP="00B8347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729" w:firstLine="851"/>
        <w:jc w:val="both"/>
        <w:rPr>
          <w:sz w:val="24"/>
          <w:szCs w:val="24"/>
        </w:rPr>
      </w:pPr>
      <w:r w:rsidRPr="00B8347D">
        <w:rPr>
          <w:sz w:val="24"/>
          <w:szCs w:val="24"/>
        </w:rPr>
        <w:t xml:space="preserve">Утвердить </w:t>
      </w:r>
      <w:r w:rsidR="00FC51A8">
        <w:rPr>
          <w:sz w:val="24"/>
          <w:szCs w:val="24"/>
        </w:rPr>
        <w:t xml:space="preserve">план </w:t>
      </w:r>
      <w:r w:rsidRPr="00B8347D">
        <w:rPr>
          <w:sz w:val="24"/>
          <w:szCs w:val="24"/>
        </w:rPr>
        <w:t>проведения контрольных, экспертно-аналитических, информационных и иных мероприятий Контрольно-счетной палаты Сосновоборского городского округа на 1 квартал 202</w:t>
      </w:r>
      <w:r w:rsidR="009B375C">
        <w:rPr>
          <w:sz w:val="24"/>
          <w:szCs w:val="24"/>
        </w:rPr>
        <w:t>2</w:t>
      </w:r>
      <w:r w:rsidRPr="00B8347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</w:t>
      </w:r>
      <w:r w:rsidRPr="00B8347D">
        <w:rPr>
          <w:sz w:val="24"/>
          <w:szCs w:val="24"/>
        </w:rPr>
        <w:t>соответствии с приложением № 1 к настоящему приказу.</w:t>
      </w:r>
    </w:p>
    <w:p w14:paraId="5635F031" w14:textId="77777777" w:rsidR="00B8347D" w:rsidRDefault="00B8347D" w:rsidP="00B8347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729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план, указанный в пункте 1 настоящего приказа, на сайте Сосновоборского городского округа в соответствующем разделе Контрольно-счетной палаты Сосновоборского городского округа.</w:t>
      </w:r>
    </w:p>
    <w:p w14:paraId="6E4C5EF1" w14:textId="77777777" w:rsidR="00B8347D" w:rsidRPr="0057187B" w:rsidRDefault="00B8347D" w:rsidP="00B8347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729" w:firstLine="851"/>
        <w:jc w:val="both"/>
        <w:rPr>
          <w:sz w:val="24"/>
          <w:szCs w:val="24"/>
        </w:rPr>
      </w:pPr>
      <w:r w:rsidRPr="0057187B">
        <w:rPr>
          <w:sz w:val="24"/>
          <w:szCs w:val="24"/>
        </w:rPr>
        <w:t>Контроль за исполнением настоящего приказа оставляю за собой.</w:t>
      </w:r>
    </w:p>
    <w:p w14:paraId="02E326E9" w14:textId="77777777" w:rsidR="00B8347D" w:rsidRDefault="00B8347D" w:rsidP="00B8347D">
      <w:pPr>
        <w:ind w:right="729" w:firstLine="720"/>
        <w:jc w:val="both"/>
      </w:pPr>
    </w:p>
    <w:p w14:paraId="5F5866B9" w14:textId="77777777" w:rsidR="00B8347D" w:rsidRPr="003A6E31" w:rsidRDefault="00B8347D" w:rsidP="00B8347D">
      <w:pPr>
        <w:ind w:right="729"/>
        <w:jc w:val="both"/>
      </w:pPr>
    </w:p>
    <w:p w14:paraId="5D69BC3F" w14:textId="77777777" w:rsidR="00B8347D" w:rsidRPr="003A6E31" w:rsidRDefault="00B8347D" w:rsidP="00B8347D">
      <w:pPr>
        <w:ind w:right="729"/>
        <w:jc w:val="both"/>
      </w:pPr>
      <w:r w:rsidRPr="003A6E31">
        <w:t>Председатель Контрольно-счетной палаты</w:t>
      </w:r>
    </w:p>
    <w:p w14:paraId="3C67A317" w14:textId="77777777" w:rsidR="00B8347D" w:rsidRPr="003A6E31" w:rsidRDefault="00B8347D" w:rsidP="00B8347D">
      <w:pPr>
        <w:ind w:right="729"/>
        <w:jc w:val="both"/>
      </w:pPr>
      <w:r w:rsidRPr="003A6E31">
        <w:t>Сосновоборского городского округа                                                     М.Н. Морозова</w:t>
      </w:r>
    </w:p>
    <w:p w14:paraId="6EE879E7" w14:textId="77777777" w:rsidR="00B8347D" w:rsidRPr="003A6E31" w:rsidRDefault="00B8347D" w:rsidP="00B8347D">
      <w:pPr>
        <w:ind w:right="729"/>
        <w:jc w:val="both"/>
      </w:pPr>
    </w:p>
    <w:p w14:paraId="679976DF" w14:textId="77777777" w:rsidR="00B8347D" w:rsidRPr="003A6E31" w:rsidRDefault="00B8347D" w:rsidP="00B8347D">
      <w:pPr>
        <w:jc w:val="both"/>
      </w:pPr>
    </w:p>
    <w:p w14:paraId="05722ED8" w14:textId="77777777" w:rsidR="00B8347D" w:rsidRPr="003A6E31" w:rsidRDefault="00B8347D" w:rsidP="00B8347D">
      <w:pPr>
        <w:jc w:val="both"/>
      </w:pPr>
    </w:p>
    <w:p w14:paraId="087BC22E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0ED50A8C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1E025A4E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5B4F13B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</w:t>
      </w:r>
      <w:proofErr w:type="gramStart"/>
      <w:r>
        <w:rPr>
          <w:b w:val="0"/>
          <w:bCs w:val="0"/>
          <w:sz w:val="24"/>
        </w:rPr>
        <w:t>_  В.В.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Чехун</w:t>
      </w:r>
      <w:proofErr w:type="spellEnd"/>
      <w:r>
        <w:rPr>
          <w:b w:val="0"/>
          <w:bCs w:val="0"/>
          <w:sz w:val="24"/>
        </w:rPr>
        <w:t xml:space="preserve">   </w:t>
      </w:r>
    </w:p>
    <w:p w14:paraId="03B421DC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083A840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    Ю.Г. </w:t>
      </w:r>
      <w:proofErr w:type="spellStart"/>
      <w:r>
        <w:rPr>
          <w:b w:val="0"/>
          <w:bCs w:val="0"/>
          <w:sz w:val="24"/>
        </w:rPr>
        <w:t>Колган</w:t>
      </w:r>
      <w:proofErr w:type="spellEnd"/>
    </w:p>
    <w:p w14:paraId="45DA62FC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66143F2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1C89530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7710253B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41713D9F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055D9E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68951DE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3BA9F0FA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18E8589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53A57CA9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EAC3976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0252F8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2D9DD2DF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3BE6DCEA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9B375C">
        <w:rPr>
          <w:bCs/>
        </w:rPr>
        <w:t>3</w:t>
      </w:r>
      <w:r w:rsidRPr="00B8347D">
        <w:rPr>
          <w:bCs/>
        </w:rPr>
        <w:t>.12.202</w:t>
      </w:r>
      <w:r w:rsidR="009B375C">
        <w:rPr>
          <w:bCs/>
        </w:rPr>
        <w:t>1</w:t>
      </w:r>
      <w:r w:rsidRPr="00B8347D">
        <w:rPr>
          <w:bCs/>
        </w:rPr>
        <w:t xml:space="preserve"> № 2</w:t>
      </w:r>
      <w:r w:rsidR="009B375C">
        <w:rPr>
          <w:bCs/>
        </w:rPr>
        <w:t>3</w:t>
      </w:r>
      <w:r w:rsidRPr="00B8347D">
        <w:rPr>
          <w:bCs/>
        </w:rPr>
        <w:t>/04-01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33D521F4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9B375C">
        <w:rPr>
          <w:b/>
        </w:rPr>
        <w:t>2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247401">
        <w:tc>
          <w:tcPr>
            <w:tcW w:w="10774" w:type="dxa"/>
            <w:gridSpan w:val="5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7FF0025C" w14:textId="190E5485" w:rsidR="00247401" w:rsidRPr="00191FCA" w:rsidRDefault="0024740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 w:rsidR="009B375C">
              <w:t>ей</w:t>
            </w:r>
            <w:r w:rsidRPr="0043035B">
              <w:t xml:space="preserve"> проверк</w:t>
            </w:r>
            <w:r w:rsidR="009B375C"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9B375C">
              <w:t xml:space="preserve"> за 2021 год</w:t>
            </w:r>
            <w:r>
              <w:t>.</w:t>
            </w:r>
          </w:p>
        </w:tc>
        <w:tc>
          <w:tcPr>
            <w:tcW w:w="1560" w:type="dxa"/>
          </w:tcPr>
          <w:p w14:paraId="35978832" w14:textId="357DA06C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1150BAE9" w14:textId="77777777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7EB51C0A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733C3121" w14:textId="3D0BD875" w:rsidR="009B375C" w:rsidRPr="0043035B" w:rsidRDefault="009B375C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B375C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>
              <w:rPr>
                <w:bCs/>
                <w:lang w:eastAsia="en-US"/>
              </w:rPr>
              <w:t>1</w:t>
            </w:r>
            <w:r w:rsidRPr="009B375C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560" w:type="dxa"/>
          </w:tcPr>
          <w:p w14:paraId="6735B260" w14:textId="27A6CFC3" w:rsidR="009B375C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14:paraId="12090297" w14:textId="77777777" w:rsidR="009B375C" w:rsidRPr="00191FCA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6A264DB7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706EA19" w14:textId="7ED41972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F4F75D5" w14:textId="73086E57" w:rsidR="009B375C" w:rsidRPr="00D461AF" w:rsidRDefault="009B375C" w:rsidP="009B375C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F">
              <w:rPr>
                <w:rFonts w:ascii="Times New Roman" w:hAnsi="Times New Roman" w:cs="Times New Roman"/>
              </w:rPr>
              <w:t>Проверка соблюдения условий предоставления и использования целевых субсидий СМБУ «</w:t>
            </w:r>
            <w:proofErr w:type="spellStart"/>
            <w:r w:rsidRPr="00D461AF"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 w:rsidRPr="00D461AF">
              <w:rPr>
                <w:rFonts w:ascii="Times New Roman" w:hAnsi="Times New Roman" w:cs="Times New Roman"/>
              </w:rPr>
              <w:t>». (период 2019, 2020, 2021 годы)</w:t>
            </w:r>
          </w:p>
        </w:tc>
        <w:tc>
          <w:tcPr>
            <w:tcW w:w="1560" w:type="dxa"/>
          </w:tcPr>
          <w:p w14:paraId="1668416D" w14:textId="6874627D" w:rsidR="009B375C" w:rsidRDefault="00273B0D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</w:t>
            </w:r>
            <w:r w:rsidR="009B375C">
              <w:rPr>
                <w:bCs/>
                <w:lang w:eastAsia="en-US"/>
              </w:rPr>
              <w:t>нварь</w:t>
            </w:r>
          </w:p>
        </w:tc>
        <w:tc>
          <w:tcPr>
            <w:tcW w:w="1559" w:type="dxa"/>
          </w:tcPr>
          <w:p w14:paraId="38A2AC4B" w14:textId="77777777" w:rsidR="009B375C" w:rsidRDefault="009B375C" w:rsidP="009B375C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Завершение</w:t>
            </w:r>
          </w:p>
          <w:p w14:paraId="53B88DD7" w14:textId="6961CCD8" w:rsidR="009B375C" w:rsidRPr="00AE3381" w:rsidRDefault="009B375C" w:rsidP="009B375C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AE3381">
              <w:rPr>
                <w:bCs/>
                <w:sz w:val="22"/>
                <w:szCs w:val="22"/>
                <w:lang w:eastAsia="en-US"/>
              </w:rPr>
              <w:t>роверки с декабря 20</w:t>
            </w: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</w:tr>
      <w:tr w:rsidR="009B375C" w:rsidRPr="00191FCA" w14:paraId="382EBF98" w14:textId="77777777" w:rsidTr="0064788B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A8052CD" w14:textId="3DB40694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  <w:vAlign w:val="center"/>
          </w:tcPr>
          <w:p w14:paraId="6AF759D4" w14:textId="591CE3D6" w:rsidR="009B375C" w:rsidRPr="00E45D3A" w:rsidRDefault="009B375C" w:rsidP="009B375C">
            <w:pPr>
              <w:jc w:val="both"/>
              <w:rPr>
                <w:bCs/>
              </w:rPr>
            </w:pPr>
            <w:r>
              <w:t xml:space="preserve">Проверка </w:t>
            </w:r>
            <w:r w:rsidR="00273B0D">
              <w:t>эффективного</w:t>
            </w:r>
            <w:r>
              <w:t xml:space="preserve"> и целевого использования </w:t>
            </w:r>
            <w:r w:rsidR="00273B0D">
              <w:t xml:space="preserve">субсидий, предоставленных из </w:t>
            </w:r>
            <w:r>
              <w:t>бюджет</w:t>
            </w:r>
            <w:r w:rsidR="00273B0D">
              <w:t>а Сосновоборского городского округа</w:t>
            </w:r>
            <w:r>
              <w:t xml:space="preserve">, проверка соблюдения установленного порядка управления и распоряжения муниципальным имуществом </w:t>
            </w:r>
            <w:r w:rsidR="00273B0D">
              <w:t>МБУК «Сосновоборский городской музей»</w:t>
            </w:r>
          </w:p>
        </w:tc>
        <w:tc>
          <w:tcPr>
            <w:tcW w:w="1560" w:type="dxa"/>
          </w:tcPr>
          <w:p w14:paraId="2E3DFCEC" w14:textId="62A814E9" w:rsidR="009B375C" w:rsidRPr="00F611D2" w:rsidRDefault="00273B0D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Февраль-март</w:t>
            </w:r>
          </w:p>
        </w:tc>
        <w:tc>
          <w:tcPr>
            <w:tcW w:w="1559" w:type="dxa"/>
          </w:tcPr>
          <w:p w14:paraId="1B1CBA96" w14:textId="77777777" w:rsidR="009B375C" w:rsidRPr="00F611D2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18CD86B2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478FF69" w14:textId="7CD9C20F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DFB2A6E" w14:textId="5BBB8A84" w:rsidR="009B375C" w:rsidRPr="00895040" w:rsidRDefault="00273B0D" w:rsidP="009B375C">
            <w:pPr>
              <w:jc w:val="both"/>
            </w:pPr>
            <w:r w:rsidRPr="00273B0D">
              <w:t>Проверка эффективного и целевого использования субсидий, предоставленных из бюджета Сосновоборского городского округа, проверка соблюдения установленного порядка управления и распоряжения муниципальным имуществом МБУ «Сосновоборск</w:t>
            </w:r>
            <w:r>
              <w:t>ая</w:t>
            </w:r>
            <w:r w:rsidRPr="00273B0D">
              <w:t xml:space="preserve"> городск</w:t>
            </w:r>
            <w:r>
              <w:t>ая публичная библиотека</w:t>
            </w:r>
            <w:r w:rsidRPr="00273B0D">
              <w:t>»</w:t>
            </w:r>
          </w:p>
        </w:tc>
        <w:tc>
          <w:tcPr>
            <w:tcW w:w="1560" w:type="dxa"/>
          </w:tcPr>
          <w:p w14:paraId="67979B52" w14:textId="3368DBC5" w:rsidR="009B375C" w:rsidRPr="008708BE" w:rsidRDefault="00273B0D" w:rsidP="009B375C">
            <w:pPr>
              <w:jc w:val="center"/>
            </w:pPr>
            <w:r>
              <w:t>Ф</w:t>
            </w:r>
            <w:r w:rsidR="009B375C" w:rsidRPr="006C5469">
              <w:t>евраль</w:t>
            </w:r>
            <w:r>
              <w:t>-март</w:t>
            </w:r>
          </w:p>
        </w:tc>
        <w:tc>
          <w:tcPr>
            <w:tcW w:w="1559" w:type="dxa"/>
          </w:tcPr>
          <w:p w14:paraId="3E2E7F11" w14:textId="77777777" w:rsidR="009B375C" w:rsidRPr="008708BE" w:rsidRDefault="009B375C" w:rsidP="009B375C">
            <w:pPr>
              <w:jc w:val="center"/>
            </w:pPr>
          </w:p>
        </w:tc>
      </w:tr>
      <w:tr w:rsidR="009B375C" w:rsidRPr="00191FCA" w14:paraId="05C90C1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082A10A" w14:textId="395A4EBA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E68A444" w14:textId="6964786E" w:rsidR="009B375C" w:rsidRPr="00365AE6" w:rsidRDefault="009B375C" w:rsidP="009B375C">
            <w:pPr>
              <w:jc w:val="both"/>
            </w:pPr>
            <w:r w:rsidRPr="00365AE6">
              <w:t xml:space="preserve">Проведение проверок </w:t>
            </w:r>
            <w:r>
              <w:t>исполнения представлений</w:t>
            </w:r>
            <w:r w:rsidR="00FC51A8">
              <w:t>, предложений, рекомендаций</w:t>
            </w:r>
            <w:r>
              <w:t xml:space="preserve"> по результатам </w:t>
            </w:r>
            <w:r w:rsidRPr="00365AE6">
              <w:t xml:space="preserve">проведенных контрольных </w:t>
            </w:r>
            <w:proofErr w:type="gramStart"/>
            <w:r w:rsidRPr="00365AE6">
              <w:t>мероприятий</w:t>
            </w:r>
            <w:r>
              <w:t xml:space="preserve">  </w:t>
            </w:r>
            <w:r w:rsidRPr="00365AE6">
              <w:t>в</w:t>
            </w:r>
            <w:proofErr w:type="gramEnd"/>
            <w:r w:rsidRPr="00365AE6">
              <w:t xml:space="preserve"> </w:t>
            </w:r>
            <w:r>
              <w:t>2020, 20</w:t>
            </w:r>
            <w:r w:rsidRPr="005D2762">
              <w:t>2</w:t>
            </w:r>
            <w:r>
              <w:t>1годах.</w:t>
            </w:r>
          </w:p>
        </w:tc>
        <w:tc>
          <w:tcPr>
            <w:tcW w:w="1560" w:type="dxa"/>
          </w:tcPr>
          <w:p w14:paraId="0F72C848" w14:textId="4CEDACB5" w:rsidR="009B375C" w:rsidRPr="008708BE" w:rsidRDefault="005040C2" w:rsidP="009B375C">
            <w:pPr>
              <w:jc w:val="center"/>
            </w:pPr>
            <w:r>
              <w:rPr>
                <w:bCs/>
                <w:lang w:eastAsia="en-US"/>
              </w:rPr>
              <w:t>Я</w:t>
            </w:r>
            <w:r w:rsidR="009B375C">
              <w:rPr>
                <w:bCs/>
                <w:lang w:eastAsia="en-US"/>
              </w:rPr>
              <w:t>нварь</w:t>
            </w:r>
          </w:p>
        </w:tc>
        <w:tc>
          <w:tcPr>
            <w:tcW w:w="1559" w:type="dxa"/>
          </w:tcPr>
          <w:p w14:paraId="417A2422" w14:textId="77777777" w:rsidR="009B375C" w:rsidRPr="008708BE" w:rsidRDefault="009B375C" w:rsidP="009B375C">
            <w:pPr>
              <w:jc w:val="center"/>
            </w:pPr>
          </w:p>
        </w:tc>
      </w:tr>
      <w:tr w:rsidR="009B375C" w:rsidRPr="00191FCA" w14:paraId="56DF522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CE26D42" w14:textId="699EA388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58643B5" w14:textId="77777777" w:rsidR="009B375C" w:rsidRPr="00514B6C" w:rsidRDefault="009B375C" w:rsidP="009B375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9B375C" w:rsidRPr="00740BDC" w:rsidRDefault="009B375C" w:rsidP="009B375C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14:paraId="3D3289DA" w14:textId="77777777" w:rsidR="009B375C" w:rsidRDefault="009B375C" w:rsidP="009B375C">
            <w:pPr>
              <w:jc w:val="center"/>
            </w:pPr>
          </w:p>
        </w:tc>
      </w:tr>
      <w:tr w:rsidR="009B375C" w:rsidRPr="00191FCA" w14:paraId="4CE43AE6" w14:textId="77777777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14:paraId="505E7EF9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9B375C" w:rsidRPr="00191FCA" w:rsidRDefault="009B375C" w:rsidP="009B375C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9B375C" w:rsidRPr="00191FCA" w14:paraId="03F8166C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B4553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336A3CF" w14:textId="5D520A34" w:rsidR="009B375C" w:rsidRPr="001F7C18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 w:rsidR="000C016A">
              <w:t xml:space="preserve"> и оформление заключений</w:t>
            </w:r>
          </w:p>
        </w:tc>
        <w:tc>
          <w:tcPr>
            <w:tcW w:w="1560" w:type="dxa"/>
          </w:tcPr>
          <w:p w14:paraId="0236FAD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1241DE4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2AEFE53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80D731" w14:textId="2AA93C9B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CCC6836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E66058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06F047C1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503A281B" w14:textId="0429FC50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2217091" w14:textId="129AB6C4" w:rsidR="009B375C" w:rsidRPr="001F7C18" w:rsidRDefault="005F0310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Анализ </w:t>
            </w:r>
            <w:r w:rsidR="0043442E">
              <w:rPr>
                <w:bCs/>
                <w:lang w:eastAsia="en-US"/>
              </w:rPr>
              <w:t xml:space="preserve">проектов </w:t>
            </w:r>
            <w:r>
              <w:rPr>
                <w:bCs/>
                <w:lang w:eastAsia="en-US"/>
              </w:rPr>
              <w:t>изменений, вносимых в муниципальные программы</w:t>
            </w:r>
          </w:p>
        </w:tc>
        <w:tc>
          <w:tcPr>
            <w:tcW w:w="1560" w:type="dxa"/>
          </w:tcPr>
          <w:p w14:paraId="37E865EF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99B53F2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4871CBF0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4AFD6C9D" w14:textId="63032569" w:rsidR="009B375C" w:rsidRPr="00F611D2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773C9108" w14:textId="40FD70EF" w:rsidR="009B375C" w:rsidRPr="00191FCA" w:rsidRDefault="005040C2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 w:rsidR="000C016A"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 w:rsidR="000C016A"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</w:t>
            </w:r>
            <w:r w:rsidRPr="005040C2">
              <w:rPr>
                <w:bCs/>
                <w:lang w:eastAsia="en-US"/>
              </w:rPr>
              <w:lastRenderedPageBreak/>
              <w:t>Сосновоборского городского округа «О внесении изменений в решение совета депутатов «О бюджете Сосновоборского городского округа на 2022 год и плановый период 2023-2024 годов»</w:t>
            </w:r>
            <w:r w:rsidR="000C016A"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60" w:type="dxa"/>
          </w:tcPr>
          <w:p w14:paraId="6994E37A" w14:textId="77777777" w:rsidR="009B375C" w:rsidRPr="00F21A59" w:rsidRDefault="009B375C" w:rsidP="009B375C">
            <w:pPr>
              <w:widowControl w:val="0"/>
              <w:suppressAutoHyphens/>
              <w:jc w:val="center"/>
            </w:pPr>
            <w:r>
              <w:lastRenderedPageBreak/>
              <w:t>Март</w:t>
            </w:r>
          </w:p>
        </w:tc>
        <w:tc>
          <w:tcPr>
            <w:tcW w:w="1559" w:type="dxa"/>
          </w:tcPr>
          <w:p w14:paraId="0FE7BE07" w14:textId="77777777" w:rsidR="009B375C" w:rsidRPr="00F21A59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9C5C1B8" w14:textId="77777777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14:paraId="50A99545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F3896" w:rsidRPr="00191FCA" w14:paraId="4031A86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906F64E" w14:textId="2FC26BDD" w:rsidR="000F3896" w:rsidRPr="00191FCA" w:rsidRDefault="000F3896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0B23CF01" w14:textId="1F610457" w:rsidR="000F3896" w:rsidRDefault="0043442E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 и обобщение результатов контрольных и экспертно-аналитических мероприятий за 2021 год для формирования отчетной информации</w:t>
            </w:r>
          </w:p>
        </w:tc>
        <w:tc>
          <w:tcPr>
            <w:tcW w:w="1560" w:type="dxa"/>
          </w:tcPr>
          <w:p w14:paraId="77C90378" w14:textId="5E7EFC95" w:rsidR="000F3896" w:rsidRDefault="0043442E" w:rsidP="009B375C">
            <w:pPr>
              <w:widowControl w:val="0"/>
              <w:suppressAutoHyphens/>
              <w:jc w:val="center"/>
            </w:pPr>
            <w:r>
              <w:t xml:space="preserve">Январь </w:t>
            </w:r>
          </w:p>
        </w:tc>
        <w:tc>
          <w:tcPr>
            <w:tcW w:w="1559" w:type="dxa"/>
          </w:tcPr>
          <w:p w14:paraId="759715F1" w14:textId="77777777" w:rsidR="000F3896" w:rsidRPr="00191FCA" w:rsidRDefault="000F3896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74146F98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2A571EE" w14:textId="4458DE3B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010993E" w14:textId="260549A8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43442E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560" w:type="dxa"/>
          </w:tcPr>
          <w:p w14:paraId="07D3BAF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14:paraId="60B753B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39794A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F0A16AD" w14:textId="1160F050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B375C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5114B972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231B3903" w14:textId="77777777" w:rsidR="009B375C" w:rsidRDefault="009B375C" w:rsidP="009B375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14:paraId="6666DF76" w14:textId="77777777" w:rsidR="009B375C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D0517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92D8109" w14:textId="645A963C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1BC17FA" w14:textId="4522FD39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 w:rsidR="0043442E"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 w:rsidR="0043442E"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 w:rsidR="0043442E"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6274D6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9C9516" w14:textId="77777777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14:paraId="3ED10F61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9B375C" w:rsidRPr="00191FCA" w14:paraId="346F6DC9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E1060E7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5627E0B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5D26CC1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2EFB1F8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1D3880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1B16E78A" w14:textId="02425723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58BD4EEE" w14:textId="77777777" w:rsidR="009B375C" w:rsidRPr="00676A48" w:rsidRDefault="009B375C" w:rsidP="009B375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7189EA55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6D018AD1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08B50EF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BACB280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291D8845" w14:textId="77777777" w:rsidR="009B375C" w:rsidRPr="00191FCA" w:rsidRDefault="009B375C" w:rsidP="009B375C">
            <w:pPr>
              <w:suppressAutoHyphens/>
              <w:jc w:val="center"/>
            </w:pPr>
          </w:p>
        </w:tc>
      </w:tr>
      <w:tr w:rsidR="009B375C" w:rsidRPr="00245688" w14:paraId="1396CBAD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F376644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B5B1FBC" w14:textId="77777777" w:rsidR="009B375C" w:rsidRPr="00191FCA" w:rsidRDefault="009B375C" w:rsidP="009B375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12990663" w14:textId="77777777" w:rsidR="009B375C" w:rsidRPr="00F611D2" w:rsidRDefault="009B375C" w:rsidP="009B375C">
            <w:pPr>
              <w:suppressAutoHyphens/>
              <w:jc w:val="center"/>
            </w:pPr>
          </w:p>
        </w:tc>
      </w:tr>
      <w:tr w:rsidR="009B375C" w:rsidRPr="00245688" w14:paraId="6A43556E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B1058CF" w14:textId="77777777" w:rsidR="009B375C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14:paraId="5D2BB013" w14:textId="1497FCD9" w:rsidR="009B375C" w:rsidRPr="00191FCA" w:rsidRDefault="009B375C" w:rsidP="009B375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202</w:t>
            </w:r>
            <w:r w:rsidR="00954BC0">
              <w:t>2</w:t>
            </w:r>
            <w:r>
              <w:t>.</w:t>
            </w:r>
          </w:p>
        </w:tc>
        <w:tc>
          <w:tcPr>
            <w:tcW w:w="1560" w:type="dxa"/>
          </w:tcPr>
          <w:p w14:paraId="700EAF8D" w14:textId="77777777" w:rsidR="009B375C" w:rsidRPr="00F611D2" w:rsidRDefault="009B375C" w:rsidP="009B375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7E71AE94" w14:textId="77777777" w:rsidR="009B375C" w:rsidRPr="00F611D2" w:rsidRDefault="009B375C" w:rsidP="009B375C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6DA"/>
    <w:rsid w:val="0001034D"/>
    <w:rsid w:val="00033D75"/>
    <w:rsid w:val="00085FD6"/>
    <w:rsid w:val="000A6685"/>
    <w:rsid w:val="000B5D64"/>
    <w:rsid w:val="000B7DB3"/>
    <w:rsid w:val="000C016A"/>
    <w:rsid w:val="000C715E"/>
    <w:rsid w:val="000E592A"/>
    <w:rsid w:val="000F3896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73B0D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410046"/>
    <w:rsid w:val="00427784"/>
    <w:rsid w:val="0043442E"/>
    <w:rsid w:val="0047621D"/>
    <w:rsid w:val="004A028B"/>
    <w:rsid w:val="004B0E6A"/>
    <w:rsid w:val="005040C2"/>
    <w:rsid w:val="00523A0A"/>
    <w:rsid w:val="00532996"/>
    <w:rsid w:val="005470D0"/>
    <w:rsid w:val="0055718C"/>
    <w:rsid w:val="00564049"/>
    <w:rsid w:val="00570C03"/>
    <w:rsid w:val="005D2762"/>
    <w:rsid w:val="005E0015"/>
    <w:rsid w:val="005F0310"/>
    <w:rsid w:val="006272BA"/>
    <w:rsid w:val="00633F49"/>
    <w:rsid w:val="00636902"/>
    <w:rsid w:val="006702E0"/>
    <w:rsid w:val="00676A48"/>
    <w:rsid w:val="00684A67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C2764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C7690"/>
    <w:rsid w:val="00901784"/>
    <w:rsid w:val="009404AA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461AF"/>
    <w:rsid w:val="00D533DE"/>
    <w:rsid w:val="00D536F3"/>
    <w:rsid w:val="00D5710A"/>
    <w:rsid w:val="00D77DBF"/>
    <w:rsid w:val="00DA29E2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C51A8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31</cp:revision>
  <cp:lastPrinted>2019-12-27T09:39:00Z</cp:lastPrinted>
  <dcterms:created xsi:type="dcterms:W3CDTF">2015-12-24T07:40:00Z</dcterms:created>
  <dcterms:modified xsi:type="dcterms:W3CDTF">2021-12-24T11:54:00Z</dcterms:modified>
</cp:coreProperties>
</file>