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B9" w:rsidRPr="006821B9" w:rsidRDefault="006821B9">
      <w:pPr>
        <w:pStyle w:val="ConsPlusNormal"/>
      </w:pPr>
    </w:p>
    <w:p w:rsidR="00EF4174" w:rsidRPr="006821B9" w:rsidRDefault="00EF4174" w:rsidP="00EF4174">
      <w:pPr>
        <w:pStyle w:val="ConsPlusNormal"/>
        <w:jc w:val="right"/>
        <w:outlineLvl w:val="0"/>
        <w:rPr>
          <w:rFonts w:ascii="Times New Roman" w:hAnsi="Times New Roman" w:cs="Times New Roman"/>
          <w:sz w:val="24"/>
          <w:szCs w:val="24"/>
        </w:rPr>
      </w:pPr>
      <w:r w:rsidRPr="006821B9">
        <w:rPr>
          <w:rFonts w:ascii="Times New Roman" w:hAnsi="Times New Roman" w:cs="Times New Roman"/>
          <w:sz w:val="24"/>
          <w:szCs w:val="24"/>
        </w:rPr>
        <w:t>УТВЕРЖДЕН</w:t>
      </w:r>
    </w:p>
    <w:p w:rsidR="00EF4174" w:rsidRPr="006821B9" w:rsidRDefault="00EF4174" w:rsidP="00EF4174">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постановлением Правительства</w:t>
      </w:r>
    </w:p>
    <w:p w:rsidR="00EF4174" w:rsidRPr="006821B9" w:rsidRDefault="00EF4174" w:rsidP="00EF4174">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Ленинградской области</w:t>
      </w:r>
    </w:p>
    <w:p w:rsidR="00EF4174" w:rsidRPr="006821B9" w:rsidRDefault="00EF4174" w:rsidP="00EF4174">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от 28.12.2015 N 520</w:t>
      </w:r>
    </w:p>
    <w:p w:rsidR="00EF4174" w:rsidRPr="006821B9" w:rsidRDefault="00EF4174" w:rsidP="00EF4174">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w:t>
      </w:r>
      <w:r>
        <w:rPr>
          <w:rFonts w:ascii="Times New Roman" w:hAnsi="Times New Roman" w:cs="Times New Roman"/>
          <w:sz w:val="24"/>
          <w:szCs w:val="24"/>
        </w:rPr>
        <w:t>в ред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11.09.2017</w:t>
      </w:r>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Title"/>
        <w:jc w:val="center"/>
        <w:rPr>
          <w:rFonts w:ascii="Times New Roman" w:hAnsi="Times New Roman" w:cs="Times New Roman"/>
          <w:sz w:val="24"/>
          <w:szCs w:val="24"/>
        </w:rPr>
      </w:pPr>
      <w:bookmarkStart w:id="0" w:name="P45"/>
      <w:bookmarkEnd w:id="0"/>
      <w:r w:rsidRPr="006821B9">
        <w:rPr>
          <w:rFonts w:ascii="Times New Roman" w:hAnsi="Times New Roman" w:cs="Times New Roman"/>
          <w:sz w:val="24"/>
          <w:szCs w:val="24"/>
        </w:rPr>
        <w:t>ПОРЯДОК</w:t>
      </w:r>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ОПРЕДЕЛЕНИЯ РАЗМЕРА АРЕНДНОЙ ПЛАТЫ ЗА ИСПОЛЬЗОВАНИЕ</w:t>
      </w:r>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ЗЕМЕЛЬНЫХ УЧАСТКОВ, НАХОДЯЩИХСЯ В СОБСТВЕННОСТИ</w:t>
      </w:r>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ЛЕНИНГРАДСКОЙ ОБЛАСТИ, А ТАКЖЕ ЗЕМЕЛЬНЫХ УЧАСТКОВ,</w:t>
      </w:r>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 xml:space="preserve">ГОСУДАРСТВЕННАЯ </w:t>
      </w:r>
      <w:proofErr w:type="gramStart"/>
      <w:r w:rsidRPr="006821B9">
        <w:rPr>
          <w:rFonts w:ascii="Times New Roman" w:hAnsi="Times New Roman" w:cs="Times New Roman"/>
          <w:sz w:val="24"/>
          <w:szCs w:val="24"/>
        </w:rPr>
        <w:t>СОБСТВЕННОСТЬ</w:t>
      </w:r>
      <w:proofErr w:type="gramEnd"/>
      <w:r w:rsidRPr="006821B9">
        <w:rPr>
          <w:rFonts w:ascii="Times New Roman" w:hAnsi="Times New Roman" w:cs="Times New Roman"/>
          <w:sz w:val="24"/>
          <w:szCs w:val="24"/>
        </w:rPr>
        <w:t xml:space="preserve"> НА КОТОРЫЕ НЕ РАЗГРАНИЧЕНА,</w:t>
      </w:r>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 xml:space="preserve">В ЛЕНИНГРАДСКОЙ ОБЛАСТИ, </w:t>
      </w:r>
      <w:proofErr w:type="gramStart"/>
      <w:r w:rsidRPr="006821B9">
        <w:rPr>
          <w:rFonts w:ascii="Times New Roman" w:hAnsi="Times New Roman" w:cs="Times New Roman"/>
          <w:sz w:val="24"/>
          <w:szCs w:val="24"/>
        </w:rPr>
        <w:t>ПРЕДОСТАВЛЕННЫХ</w:t>
      </w:r>
      <w:proofErr w:type="gramEnd"/>
    </w:p>
    <w:p w:rsidR="00EF4174" w:rsidRPr="006821B9" w:rsidRDefault="00EF4174" w:rsidP="00EF4174">
      <w:pPr>
        <w:pStyle w:val="ConsPlusTitle"/>
        <w:jc w:val="center"/>
        <w:rPr>
          <w:rFonts w:ascii="Times New Roman" w:hAnsi="Times New Roman" w:cs="Times New Roman"/>
          <w:sz w:val="24"/>
          <w:szCs w:val="24"/>
        </w:rPr>
      </w:pPr>
      <w:r w:rsidRPr="006821B9">
        <w:rPr>
          <w:rFonts w:ascii="Times New Roman" w:hAnsi="Times New Roman" w:cs="Times New Roman"/>
          <w:sz w:val="24"/>
          <w:szCs w:val="24"/>
        </w:rPr>
        <w:t>БЕЗ ПРОВЕДЕНИЯ ТОРГОВ</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outlineLvl w:val="1"/>
        <w:rPr>
          <w:rFonts w:ascii="Times New Roman" w:hAnsi="Times New Roman" w:cs="Times New Roman"/>
          <w:sz w:val="24"/>
          <w:szCs w:val="24"/>
        </w:rPr>
      </w:pPr>
      <w:r w:rsidRPr="006821B9">
        <w:rPr>
          <w:rFonts w:ascii="Times New Roman" w:hAnsi="Times New Roman" w:cs="Times New Roman"/>
          <w:sz w:val="24"/>
          <w:szCs w:val="24"/>
        </w:rPr>
        <w:t>1. Общие положения</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кадастровым паспортом земельного участка (выпиской из государственного кадастра недвижимости) или правоустанавливающими документами.</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 арендной платы, если иное не предусмотрено федеральным законодательством и областным законодательством.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outlineLvl w:val="1"/>
        <w:rPr>
          <w:rFonts w:ascii="Times New Roman" w:hAnsi="Times New Roman" w:cs="Times New Roman"/>
          <w:sz w:val="24"/>
          <w:szCs w:val="24"/>
        </w:rPr>
      </w:pPr>
      <w:r w:rsidRPr="006821B9">
        <w:rPr>
          <w:rFonts w:ascii="Times New Roman" w:hAnsi="Times New Roman" w:cs="Times New Roman"/>
          <w:sz w:val="24"/>
          <w:szCs w:val="24"/>
        </w:rPr>
        <w:t>2. Порядок определения арендной платы</w:t>
      </w:r>
    </w:p>
    <w:p w:rsidR="00EF4174" w:rsidRPr="006821B9" w:rsidRDefault="00EF4174" w:rsidP="00EF4174">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за использование земельного участка</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rPr>
          <w:rFonts w:ascii="Times New Roman" w:hAnsi="Times New Roman" w:cs="Times New Roman"/>
          <w:b/>
          <w:sz w:val="24"/>
          <w:szCs w:val="24"/>
        </w:rPr>
      </w:pPr>
      <w:r w:rsidRPr="006821B9">
        <w:rPr>
          <w:rFonts w:ascii="Times New Roman" w:hAnsi="Times New Roman" w:cs="Times New Roman"/>
          <w:b/>
          <w:sz w:val="24"/>
          <w:szCs w:val="24"/>
        </w:rPr>
        <w:t xml:space="preserve">А = Б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S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Кри</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Кз</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Ки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Ку</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x</w:t>
      </w:r>
      <w:proofErr w:type="spellEnd"/>
      <w:r w:rsidRPr="006821B9">
        <w:rPr>
          <w:rFonts w:ascii="Times New Roman" w:hAnsi="Times New Roman" w:cs="Times New Roman"/>
          <w:b/>
          <w:sz w:val="24"/>
          <w:szCs w:val="24"/>
        </w:rPr>
        <w:t xml:space="preserve"> </w:t>
      </w:r>
      <w:proofErr w:type="spellStart"/>
      <w:r w:rsidRPr="006821B9">
        <w:rPr>
          <w:rFonts w:ascii="Times New Roman" w:hAnsi="Times New Roman" w:cs="Times New Roman"/>
          <w:b/>
          <w:sz w:val="24"/>
          <w:szCs w:val="24"/>
        </w:rPr>
        <w:t>Кр</w:t>
      </w:r>
      <w:proofErr w:type="spellEnd"/>
      <w:r w:rsidRPr="006821B9">
        <w:rPr>
          <w:rFonts w:ascii="Times New Roman" w:hAnsi="Times New Roman" w:cs="Times New Roman"/>
          <w:b/>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где:</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А - расчетная сумма арендной платы за использование земельного участка, руб. в год;</w:t>
      </w:r>
    </w:p>
    <w:p w:rsidR="00EF4174" w:rsidRPr="006821B9" w:rsidRDefault="00EF4174" w:rsidP="00EF4174">
      <w:pPr>
        <w:pStyle w:val="ConsPlusNormal"/>
        <w:ind w:firstLine="540"/>
        <w:jc w:val="both"/>
        <w:rPr>
          <w:rFonts w:ascii="Times New Roman" w:hAnsi="Times New Roman" w:cs="Times New Roman"/>
          <w:sz w:val="24"/>
          <w:szCs w:val="24"/>
        </w:rPr>
      </w:pPr>
      <w:proofErr w:type="gramStart"/>
      <w:r w:rsidRPr="006821B9">
        <w:rPr>
          <w:rFonts w:ascii="Times New Roman" w:hAnsi="Times New Roman" w:cs="Times New Roman"/>
          <w:sz w:val="24"/>
          <w:szCs w:val="24"/>
        </w:rPr>
        <w:t>Б</w:t>
      </w:r>
      <w:proofErr w:type="gramEnd"/>
      <w:r w:rsidRPr="006821B9">
        <w:rPr>
          <w:rFonts w:ascii="Times New Roman" w:hAnsi="Times New Roman" w:cs="Times New Roman"/>
          <w:sz w:val="24"/>
          <w:szCs w:val="24"/>
        </w:rPr>
        <w:t xml:space="preserve"> - базовая </w:t>
      </w:r>
      <w:hyperlink w:anchor="P110" w:history="1">
        <w:r w:rsidRPr="006821B9">
          <w:rPr>
            <w:rFonts w:ascii="Times New Roman" w:hAnsi="Times New Roman" w:cs="Times New Roman"/>
            <w:sz w:val="24"/>
            <w:szCs w:val="24"/>
          </w:rPr>
          <w:t>ставка</w:t>
        </w:r>
      </w:hyperlink>
      <w:r w:rsidRPr="006821B9">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 - площадь земельного участка, кв. м;</w:t>
      </w:r>
    </w:p>
    <w:p w:rsidR="00EF4174" w:rsidRPr="006821B9" w:rsidRDefault="00EF4174" w:rsidP="00EF4174">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lastRenderedPageBreak/>
        <w:t>Кри</w:t>
      </w:r>
      <w:proofErr w:type="spellEnd"/>
      <w:r w:rsidRPr="006821B9">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 (</w:t>
      </w:r>
      <w:r w:rsidRPr="006821B9">
        <w:rPr>
          <w:rFonts w:ascii="Times New Roman" w:hAnsi="Times New Roman" w:cs="Times New Roman"/>
          <w:i/>
          <w:sz w:val="24"/>
          <w:szCs w:val="24"/>
          <w:u w:val="single"/>
        </w:rPr>
        <w:t>Приказ Леноблкомимущества от 11.01.2016 № 2</w:t>
      </w:r>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Кз</w:t>
      </w:r>
      <w:proofErr w:type="spellEnd"/>
      <w:r w:rsidRPr="006821B9">
        <w:rPr>
          <w:rFonts w:ascii="Times New Roman" w:hAnsi="Times New Roman" w:cs="Times New Roman"/>
          <w:sz w:val="24"/>
          <w:szCs w:val="24"/>
        </w:rPr>
        <w:t xml:space="preserve"> - коэффициент территориального зонирования, устанавливаемый в диапазоне от 0,6 до 2 решением уполномоченного органа местного самоуправления городских поселений и городского округа на основании генерального плана и правил землепользования и застройки. В </w:t>
      </w:r>
      <w:proofErr w:type="gramStart"/>
      <w:r w:rsidRPr="006821B9">
        <w:rPr>
          <w:rFonts w:ascii="Times New Roman" w:hAnsi="Times New Roman" w:cs="Times New Roman"/>
          <w:sz w:val="24"/>
          <w:szCs w:val="24"/>
        </w:rPr>
        <w:t>случае</w:t>
      </w:r>
      <w:proofErr w:type="gramEnd"/>
      <w:r w:rsidRPr="006821B9">
        <w:rPr>
          <w:rFonts w:ascii="Times New Roman" w:hAnsi="Times New Roman" w:cs="Times New Roman"/>
          <w:sz w:val="24"/>
          <w:szCs w:val="24"/>
        </w:rPr>
        <w:t xml:space="preserve"> если решение уполномоченного органа местного самоуправления отсутствует, принимается равным 1</w:t>
      </w:r>
      <w:r>
        <w:rPr>
          <w:rFonts w:ascii="Times New Roman" w:hAnsi="Times New Roman" w:cs="Times New Roman"/>
          <w:sz w:val="24"/>
          <w:szCs w:val="24"/>
        </w:rPr>
        <w:t xml:space="preserve"> (</w:t>
      </w:r>
      <w:r w:rsidRPr="006821B9">
        <w:rPr>
          <w:rFonts w:ascii="Times New Roman" w:hAnsi="Times New Roman" w:cs="Times New Roman"/>
          <w:i/>
          <w:sz w:val="24"/>
          <w:szCs w:val="24"/>
          <w:u w:val="single"/>
        </w:rPr>
        <w:t>решение Совета депутатов Сосновоборского городского округа от 15.06.2009 № 74</w:t>
      </w:r>
      <w:r>
        <w:rPr>
          <w:rFonts w:ascii="Times New Roman" w:hAnsi="Times New Roman" w:cs="Times New Roman"/>
          <w:sz w:val="24"/>
          <w:szCs w:val="24"/>
        </w:rPr>
        <w:t>)</w:t>
      </w:r>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Ки - коэффициент обеспеченности объектами инженерной инфраструктуры, устанавливаемый решением уполномоченного органа местного самоуправления в диапазоне от 0,6 до 2. В случае если решение уполномоченного органа местного самоуправления отсутствует, принимается </w:t>
      </w:r>
      <w:proofErr w:type="gramStart"/>
      <w:r w:rsidRPr="006821B9">
        <w:rPr>
          <w:rFonts w:ascii="Times New Roman" w:hAnsi="Times New Roman" w:cs="Times New Roman"/>
          <w:sz w:val="24"/>
          <w:szCs w:val="24"/>
        </w:rPr>
        <w:t>равным</w:t>
      </w:r>
      <w:proofErr w:type="gramEnd"/>
      <w:r w:rsidRPr="006821B9">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821B9">
        <w:rPr>
          <w:rFonts w:ascii="Times New Roman" w:hAnsi="Times New Roman" w:cs="Times New Roman"/>
          <w:i/>
          <w:sz w:val="24"/>
          <w:szCs w:val="24"/>
          <w:u w:val="single"/>
        </w:rPr>
        <w:t>решение Совета депутатов Сосновоборского городского округа от 15.06.2009 № 74</w:t>
      </w:r>
      <w:r>
        <w:rPr>
          <w:rFonts w:ascii="Times New Roman" w:hAnsi="Times New Roman" w:cs="Times New Roman"/>
          <w:sz w:val="24"/>
          <w:szCs w:val="24"/>
          <w:u w:val="single"/>
        </w:rPr>
        <w:t>)</w:t>
      </w:r>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 xml:space="preserve"> - </w:t>
      </w:r>
      <w:hyperlink w:anchor="P632" w:history="1">
        <w:r w:rsidRPr="006821B9">
          <w:rPr>
            <w:rFonts w:ascii="Times New Roman" w:hAnsi="Times New Roman" w:cs="Times New Roman"/>
            <w:sz w:val="24"/>
            <w:szCs w:val="24"/>
          </w:rPr>
          <w:t>коэффициент</w:t>
        </w:r>
      </w:hyperlink>
      <w:r w:rsidRPr="006821B9">
        <w:rPr>
          <w:rFonts w:ascii="Times New Roman" w:hAnsi="Times New Roman" w:cs="Times New Roman"/>
          <w:sz w:val="24"/>
          <w:szCs w:val="24"/>
        </w:rPr>
        <w:t xml:space="preserve"> учета водоохранной зоны и прибрежной защитной полосы, определяемый согласно приложению 2 к настоящему Порядку. Применяется только для площадей обременений в виде водоохранной зоны </w:t>
      </w:r>
      <w:proofErr w:type="gramStart"/>
      <w:r w:rsidRPr="006821B9">
        <w:rPr>
          <w:rFonts w:ascii="Times New Roman" w:hAnsi="Times New Roman" w:cs="Times New Roman"/>
          <w:sz w:val="24"/>
          <w:szCs w:val="24"/>
        </w:rPr>
        <w:t>и(</w:t>
      </w:r>
      <w:proofErr w:type="gramEnd"/>
      <w:r w:rsidRPr="006821B9">
        <w:rPr>
          <w:rFonts w:ascii="Times New Roman" w:hAnsi="Times New Roman" w:cs="Times New Roman"/>
          <w:sz w:val="24"/>
          <w:szCs w:val="24"/>
        </w:rPr>
        <w:t>или) прибрежной защитной полосы (по данным кадастрового паспорта земельного участка или иного документа, подтверждающего наличие обременений);</w:t>
      </w:r>
    </w:p>
    <w:p w:rsidR="00EF4174" w:rsidRPr="006821B9" w:rsidRDefault="00EF4174" w:rsidP="00EF4174">
      <w:pPr>
        <w:pStyle w:val="ConsPlusNormal"/>
        <w:ind w:firstLine="540"/>
        <w:jc w:val="both"/>
        <w:rPr>
          <w:rFonts w:ascii="Times New Roman" w:hAnsi="Times New Roman" w:cs="Times New Roman"/>
          <w:sz w:val="24"/>
          <w:szCs w:val="24"/>
        </w:rPr>
      </w:pPr>
      <w:proofErr w:type="spellStart"/>
      <w:r w:rsidRPr="006821B9">
        <w:rPr>
          <w:rFonts w:ascii="Times New Roman" w:hAnsi="Times New Roman" w:cs="Times New Roman"/>
          <w:sz w:val="24"/>
          <w:szCs w:val="24"/>
        </w:rPr>
        <w:t>Кр</w:t>
      </w:r>
      <w:proofErr w:type="spellEnd"/>
      <w:r w:rsidRPr="006821B9">
        <w:rPr>
          <w:rFonts w:ascii="Times New Roman" w:hAnsi="Times New Roman" w:cs="Times New Roman"/>
          <w:sz w:val="24"/>
          <w:szCs w:val="24"/>
        </w:rPr>
        <w:t xml:space="preserve"> - коэффициент развития, устанавливаемый в диапазоне от 0,1 до 1 решением уполномоченного органа местного самоуправления муниципального района для отдельных видов разрешенного использования земельных участков. Коэффициент носит инвестиционный характер и должен соответствовать политике муниципального района в части поддержки развития отдельных отраслей экономики. В случае если решение уполномоченного органа местного самоуправления отсутствует, принимается </w:t>
      </w:r>
      <w:proofErr w:type="gramStart"/>
      <w:r w:rsidRPr="006821B9">
        <w:rPr>
          <w:rFonts w:ascii="Times New Roman" w:hAnsi="Times New Roman" w:cs="Times New Roman"/>
          <w:sz w:val="24"/>
          <w:szCs w:val="24"/>
        </w:rPr>
        <w:t>равным</w:t>
      </w:r>
      <w:proofErr w:type="gramEnd"/>
      <w:r w:rsidRPr="006821B9">
        <w:rPr>
          <w:rFonts w:ascii="Times New Roman" w:hAnsi="Times New Roman" w:cs="Times New Roman"/>
          <w:sz w:val="24"/>
          <w:szCs w:val="24"/>
        </w:rPr>
        <w:t xml:space="preserve"> 1.</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proofErr w:type="gramStart"/>
      <w:r w:rsidRPr="006821B9">
        <w:rPr>
          <w:rFonts w:ascii="Times New Roman" w:hAnsi="Times New Roman" w:cs="Times New Roman"/>
          <w:sz w:val="24"/>
          <w:szCs w:val="24"/>
        </w:rPr>
        <w:t>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 занимаемой объектом, предназначенным для соответствующего использования, по формуле:</w:t>
      </w:r>
      <w:proofErr w:type="gramEnd"/>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rPr>
          <w:rFonts w:ascii="Times New Roman" w:hAnsi="Times New Roman" w:cs="Times New Roman"/>
          <w:sz w:val="24"/>
          <w:szCs w:val="24"/>
        </w:rPr>
      </w:pPr>
      <w:r>
        <w:rPr>
          <w:rFonts w:ascii="Times New Roman" w:hAnsi="Times New Roman" w:cs="Times New Roman"/>
          <w:noProof/>
          <w:position w:val="-32"/>
          <w:sz w:val="24"/>
          <w:szCs w:val="24"/>
        </w:rPr>
        <w:drawing>
          <wp:inline distT="0" distB="0" distL="0" distR="0">
            <wp:extent cx="5223510" cy="486410"/>
            <wp:effectExtent l="0" t="0" r="0" b="0"/>
            <wp:docPr id="3" name="Рисунок 3" descr="base_25_168242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168242_1"/>
                    <pic:cNvPicPr preferRelativeResize="0">
                      <a:picLocks noChangeArrowheads="1"/>
                    </pic:cNvPicPr>
                  </pic:nvPicPr>
                  <pic:blipFill>
                    <a:blip r:embed="rId4"/>
                    <a:srcRect/>
                    <a:stretch>
                      <a:fillRect/>
                    </a:stretch>
                  </pic:blipFill>
                  <pic:spPr bwMode="auto">
                    <a:xfrm>
                      <a:off x="0" y="0"/>
                      <a:ext cx="5223510" cy="486410"/>
                    </a:xfrm>
                    <a:custGeom>
                      <a:avLst/>
                      <a:gdLst/>
                      <a:ahLst/>
                      <a:cxnLst/>
                      <a:rect l="0" t="0" r="r" b="b"/>
                      <a:pathLst/>
                    </a:custGeom>
                    <a:noFill/>
                    <a:ln w="9525">
                      <a:noFill/>
                      <a:miter lim="800000"/>
                      <a:headEnd/>
                      <a:tailEnd/>
                    </a:ln>
                  </pic:spPr>
                </pic:pic>
              </a:graphicData>
            </a:graphic>
          </wp:inline>
        </w:drawing>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где:</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w:t>
      </w:r>
      <w:r w:rsidRPr="006821B9">
        <w:rPr>
          <w:rFonts w:ascii="Times New Roman" w:hAnsi="Times New Roman" w:cs="Times New Roman"/>
          <w:sz w:val="24"/>
          <w:szCs w:val="24"/>
          <w:vertAlign w:val="subscript"/>
        </w:rPr>
        <w:t>1</w:t>
      </w:r>
      <w:r w:rsidRPr="006821B9">
        <w:rPr>
          <w:rFonts w:ascii="Times New Roman" w:hAnsi="Times New Roman" w:cs="Times New Roman"/>
          <w:sz w:val="24"/>
          <w:szCs w:val="24"/>
        </w:rPr>
        <w:t>, S</w:t>
      </w:r>
      <w:r w:rsidRPr="006821B9">
        <w:rPr>
          <w:rFonts w:ascii="Times New Roman" w:hAnsi="Times New Roman" w:cs="Times New Roman"/>
          <w:sz w:val="24"/>
          <w:szCs w:val="24"/>
          <w:vertAlign w:val="subscript"/>
        </w:rPr>
        <w:t>2</w:t>
      </w:r>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S</w:t>
      </w:r>
      <w:r w:rsidRPr="006821B9">
        <w:rPr>
          <w:rFonts w:ascii="Times New Roman" w:hAnsi="Times New Roman" w:cs="Times New Roman"/>
          <w:sz w:val="24"/>
          <w:szCs w:val="24"/>
          <w:vertAlign w:val="subscript"/>
        </w:rPr>
        <w:t>n</w:t>
      </w:r>
      <w:proofErr w:type="spellEnd"/>
      <w:r w:rsidRPr="006821B9">
        <w:rPr>
          <w:rFonts w:ascii="Times New Roman" w:hAnsi="Times New Roman" w:cs="Times New Roman"/>
          <w:sz w:val="24"/>
          <w:szCs w:val="24"/>
        </w:rPr>
        <w:t xml:space="preserve"> - площадь объектов каждого вида функционального использования на земельном участке;</w:t>
      </w:r>
    </w:p>
    <w:p w:rsidR="00EF4174" w:rsidRPr="006821B9" w:rsidRDefault="00EF4174" w:rsidP="00EF4174">
      <w:pPr>
        <w:pStyle w:val="ConsPlusNormal"/>
        <w:ind w:firstLine="540"/>
        <w:jc w:val="both"/>
        <w:rPr>
          <w:rFonts w:ascii="Times New Roman" w:hAnsi="Times New Roman" w:cs="Times New Roman"/>
          <w:sz w:val="24"/>
          <w:szCs w:val="24"/>
        </w:rPr>
      </w:pPr>
      <w:proofErr w:type="spellStart"/>
      <w:proofErr w:type="gramStart"/>
      <w:r w:rsidRPr="006821B9">
        <w:rPr>
          <w:rFonts w:ascii="Times New Roman" w:hAnsi="Times New Roman" w:cs="Times New Roman"/>
          <w:sz w:val="24"/>
          <w:szCs w:val="24"/>
        </w:rPr>
        <w:t>S</w:t>
      </w:r>
      <w:proofErr w:type="gramEnd"/>
      <w:r w:rsidRPr="006821B9">
        <w:rPr>
          <w:rFonts w:ascii="Times New Roman" w:hAnsi="Times New Roman" w:cs="Times New Roman"/>
          <w:sz w:val="24"/>
          <w:szCs w:val="24"/>
          <w:vertAlign w:val="subscript"/>
        </w:rPr>
        <w:t>общ</w:t>
      </w:r>
      <w:proofErr w:type="spellEnd"/>
      <w:r w:rsidRPr="006821B9">
        <w:rPr>
          <w:rFonts w:ascii="Times New Roman" w:hAnsi="Times New Roman" w:cs="Times New Roman"/>
          <w:sz w:val="24"/>
          <w:szCs w:val="24"/>
          <w:vertAlign w:val="subscript"/>
        </w:rPr>
        <w:t>.</w:t>
      </w:r>
      <w:r w:rsidRPr="006821B9">
        <w:rPr>
          <w:rFonts w:ascii="Times New Roman" w:hAnsi="Times New Roman" w:cs="Times New Roman"/>
          <w:sz w:val="24"/>
          <w:szCs w:val="24"/>
        </w:rPr>
        <w:t xml:space="preserve"> - суммарная площадь объектов всех видов функционального использования на земельном участке;</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S - общая площадь земельного участка, кв. м.</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5" w:history="1">
        <w:r w:rsidRPr="006821B9">
          <w:rPr>
            <w:rFonts w:ascii="Times New Roman" w:hAnsi="Times New Roman" w:cs="Times New Roman"/>
            <w:sz w:val="24"/>
            <w:szCs w:val="24"/>
          </w:rPr>
          <w:t>кодексом</w:t>
        </w:r>
      </w:hyperlink>
      <w:r w:rsidRPr="006821B9">
        <w:rPr>
          <w:rFonts w:ascii="Times New Roman" w:hAnsi="Times New Roman" w:cs="Times New Roman"/>
          <w:sz w:val="24"/>
          <w:szCs w:val="24"/>
        </w:rPr>
        <w:t xml:space="preserve"> Российской Федерации (Федеральный </w:t>
      </w:r>
      <w:hyperlink r:id="rId6" w:history="1">
        <w:r w:rsidRPr="006821B9">
          <w:rPr>
            <w:rFonts w:ascii="Times New Roman" w:hAnsi="Times New Roman" w:cs="Times New Roman"/>
            <w:sz w:val="24"/>
            <w:szCs w:val="24"/>
          </w:rPr>
          <w:t>закон</w:t>
        </w:r>
      </w:hyperlink>
      <w:r w:rsidRPr="006821B9">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2% от кадастровой стоимости прочих арендуемых земельных участков.</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2.3. Размер годовой арендной платы за использование земельных участков, </w:t>
      </w:r>
      <w:r w:rsidRPr="006821B9">
        <w:rPr>
          <w:rFonts w:ascii="Times New Roman" w:hAnsi="Times New Roman" w:cs="Times New Roman"/>
          <w:sz w:val="24"/>
          <w:szCs w:val="24"/>
        </w:rPr>
        <w:lastRenderedPageBreak/>
        <w:t>находящихся в собственности Ленинградской области и расположенных в других субъектах Российской Федерации, устанавливается равным 2% от кадастровой стоимости этих земельных участков.</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2.4. При предоставлении земельных участков в аренду в соответствии с областным </w:t>
      </w:r>
      <w:hyperlink r:id="rId7" w:history="1">
        <w:r w:rsidRPr="006821B9">
          <w:rPr>
            <w:rFonts w:ascii="Times New Roman" w:hAnsi="Times New Roman" w:cs="Times New Roman"/>
            <w:sz w:val="24"/>
            <w:szCs w:val="24"/>
          </w:rPr>
          <w:t>законом</w:t>
        </w:r>
      </w:hyperlink>
      <w:r w:rsidRPr="006821B9">
        <w:rPr>
          <w:rFonts w:ascii="Times New Roman" w:hAnsi="Times New Roman" w:cs="Times New Roman"/>
          <w:sz w:val="24"/>
          <w:szCs w:val="24"/>
        </w:rP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размер арендной платы определяется по формуле:</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 xml:space="preserve">А = 0,12 руб.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S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Кз</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Ки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2.5. Для </w:t>
      </w:r>
      <w:proofErr w:type="spellStart"/>
      <w:r w:rsidRPr="006821B9">
        <w:rPr>
          <w:rFonts w:ascii="Times New Roman" w:hAnsi="Times New Roman" w:cs="Times New Roman"/>
          <w:sz w:val="24"/>
          <w:szCs w:val="24"/>
        </w:rPr>
        <w:t>рекультивируемых</w:t>
      </w:r>
      <w:proofErr w:type="spellEnd"/>
      <w:r w:rsidRPr="006821B9">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6821B9">
        <w:rPr>
          <w:rFonts w:ascii="Times New Roman" w:hAnsi="Times New Roman" w:cs="Times New Roman"/>
          <w:sz w:val="24"/>
          <w:szCs w:val="24"/>
        </w:rPr>
        <w:t>рекультивационных</w:t>
      </w:r>
      <w:proofErr w:type="spellEnd"/>
      <w:r w:rsidRPr="006821B9">
        <w:rPr>
          <w:rFonts w:ascii="Times New Roman" w:hAnsi="Times New Roman" w:cs="Times New Roman"/>
          <w:sz w:val="24"/>
          <w:szCs w:val="24"/>
        </w:rPr>
        <w:t xml:space="preserve"> мероприятий) размер арендной платы определяется по формуле:</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 xml:space="preserve">А = 0,4 </w:t>
      </w:r>
      <w:proofErr w:type="spellStart"/>
      <w:r w:rsidRPr="006821B9">
        <w:rPr>
          <w:rFonts w:ascii="Times New Roman" w:hAnsi="Times New Roman" w:cs="Times New Roman"/>
          <w:sz w:val="24"/>
          <w:szCs w:val="24"/>
        </w:rPr>
        <w:t>x</w:t>
      </w:r>
      <w:proofErr w:type="spellEnd"/>
      <w:proofErr w:type="gramStart"/>
      <w:r w:rsidRPr="006821B9">
        <w:rPr>
          <w:rFonts w:ascii="Times New Roman" w:hAnsi="Times New Roman" w:cs="Times New Roman"/>
          <w:sz w:val="24"/>
          <w:szCs w:val="24"/>
        </w:rPr>
        <w:t xml:space="preserve"> Б</w:t>
      </w:r>
      <w:proofErr w:type="gram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S </w:t>
      </w:r>
      <w:proofErr w:type="spellStart"/>
      <w:r w:rsidRPr="006821B9">
        <w:rPr>
          <w:rFonts w:ascii="Times New Roman" w:hAnsi="Times New Roman" w:cs="Times New Roman"/>
          <w:sz w:val="24"/>
          <w:szCs w:val="24"/>
        </w:rPr>
        <w:t>x</w:t>
      </w:r>
      <w:proofErr w:type="spellEnd"/>
      <w:r w:rsidRPr="006821B9">
        <w:rPr>
          <w:rFonts w:ascii="Times New Roman" w:hAnsi="Times New Roman" w:cs="Times New Roman"/>
          <w:sz w:val="24"/>
          <w:szCs w:val="24"/>
        </w:rPr>
        <w:t xml:space="preserve"> </w:t>
      </w:r>
      <w:proofErr w:type="spellStart"/>
      <w:r w:rsidRPr="006821B9">
        <w:rPr>
          <w:rFonts w:ascii="Times New Roman" w:hAnsi="Times New Roman" w:cs="Times New Roman"/>
          <w:sz w:val="24"/>
          <w:szCs w:val="24"/>
        </w:rPr>
        <w:t>Ку</w:t>
      </w:r>
      <w:proofErr w:type="spellEnd"/>
      <w:r w:rsidRPr="006821B9">
        <w:rPr>
          <w:rFonts w:ascii="Times New Roman" w:hAnsi="Times New Roman" w:cs="Times New Roman"/>
          <w:sz w:val="24"/>
          <w:szCs w:val="24"/>
        </w:rPr>
        <w:t>.</w:t>
      </w:r>
    </w:p>
    <w:p w:rsidR="00EF4174" w:rsidRPr="006821B9" w:rsidRDefault="00EF4174" w:rsidP="00EF4174">
      <w:pPr>
        <w:pStyle w:val="ConsPlusNormal"/>
        <w:ind w:firstLine="540"/>
        <w:jc w:val="both"/>
        <w:rPr>
          <w:rFonts w:ascii="Times New Roman" w:hAnsi="Times New Roman" w:cs="Times New Roman"/>
          <w:sz w:val="24"/>
          <w:szCs w:val="24"/>
        </w:rPr>
      </w:pP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2.6. </w:t>
      </w:r>
      <w:proofErr w:type="gramStart"/>
      <w:r w:rsidRPr="006821B9">
        <w:rPr>
          <w:rFonts w:ascii="Times New Roman" w:hAnsi="Times New Roman" w:cs="Times New Roman"/>
          <w:sz w:val="24"/>
          <w:szCs w:val="24"/>
        </w:rPr>
        <w:t xml:space="preserve">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в </w:t>
      </w:r>
      <w:hyperlink r:id="rId8" w:history="1">
        <w:r w:rsidRPr="006821B9">
          <w:rPr>
            <w:rFonts w:ascii="Times New Roman" w:hAnsi="Times New Roman" w:cs="Times New Roman"/>
            <w:sz w:val="24"/>
            <w:szCs w:val="24"/>
          </w:rPr>
          <w:t>пункте 1 статьи 49</w:t>
        </w:r>
      </w:hyperlink>
      <w:r w:rsidRPr="006821B9">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w:t>
      </w:r>
      <w:proofErr w:type="gramEnd"/>
      <w:r w:rsidRPr="006821B9">
        <w:rPr>
          <w:rFonts w:ascii="Times New Roman" w:hAnsi="Times New Roman" w:cs="Times New Roman"/>
          <w:sz w:val="24"/>
          <w:szCs w:val="24"/>
        </w:rPr>
        <w:t xml:space="preserve"> </w:t>
      </w:r>
      <w:proofErr w:type="gramStart"/>
      <w:r w:rsidRPr="006821B9">
        <w:rPr>
          <w:rFonts w:ascii="Times New Roman" w:hAnsi="Times New Roman" w:cs="Times New Roman"/>
          <w:sz w:val="24"/>
          <w:szCs w:val="24"/>
        </w:rPr>
        <w:t>отношении</w:t>
      </w:r>
      <w:proofErr w:type="gramEnd"/>
      <w:r w:rsidRPr="006821B9">
        <w:rPr>
          <w:rFonts w:ascii="Times New Roman" w:hAnsi="Times New Roman" w:cs="Times New Roman"/>
          <w:sz w:val="24"/>
          <w:szCs w:val="24"/>
        </w:rPr>
        <w:t xml:space="preserve"> земельных участков, находящихся в федеральной собственности.</w:t>
      </w:r>
    </w:p>
    <w:p w:rsidR="00EF4174" w:rsidRPr="006821B9" w:rsidRDefault="00EF4174" w:rsidP="00EF4174">
      <w:pPr>
        <w:pStyle w:val="ConsPlusNormal"/>
        <w:ind w:firstLine="540"/>
        <w:jc w:val="both"/>
        <w:rPr>
          <w:rFonts w:ascii="Times New Roman" w:hAnsi="Times New Roman" w:cs="Times New Roman"/>
          <w:sz w:val="24"/>
          <w:szCs w:val="24"/>
        </w:rPr>
      </w:pPr>
      <w:r w:rsidRPr="006821B9">
        <w:rPr>
          <w:rFonts w:ascii="Times New Roman" w:hAnsi="Times New Roman" w:cs="Times New Roman"/>
          <w:sz w:val="24"/>
          <w:szCs w:val="24"/>
        </w:rPr>
        <w:t xml:space="preserve">2.7. Размер арендной платы определяется в размере земельного налога в случае заключения договора аренды земельного участка с лицами, указанными в </w:t>
      </w:r>
      <w:hyperlink r:id="rId9" w:history="1">
        <w:r w:rsidRPr="006821B9">
          <w:rPr>
            <w:rFonts w:ascii="Times New Roman" w:hAnsi="Times New Roman" w:cs="Times New Roman"/>
            <w:sz w:val="24"/>
            <w:szCs w:val="24"/>
          </w:rPr>
          <w:t>пункте 5 статьи 39.7</w:t>
        </w:r>
      </w:hyperlink>
      <w:r w:rsidRPr="006821B9">
        <w:rPr>
          <w:rFonts w:ascii="Times New Roman" w:hAnsi="Times New Roman" w:cs="Times New Roman"/>
          <w:sz w:val="24"/>
          <w:szCs w:val="24"/>
        </w:rPr>
        <w:t xml:space="preserve"> Земельного кодекса Российской Федерации.</w:t>
      </w:r>
    </w:p>
    <w:p w:rsidR="00EF4174" w:rsidRPr="00E82C0F" w:rsidRDefault="00EF4174" w:rsidP="00EF4174">
      <w:pPr>
        <w:pStyle w:val="a3"/>
        <w:ind w:firstLine="540"/>
        <w:jc w:val="both"/>
        <w:rPr>
          <w:rFonts w:ascii="Times New Roman" w:hAnsi="Times New Roman" w:cs="Times New Roman"/>
          <w:sz w:val="24"/>
          <w:szCs w:val="24"/>
        </w:rPr>
      </w:pPr>
      <w:r w:rsidRPr="00E82C0F">
        <w:rPr>
          <w:rFonts w:ascii="Times New Roman" w:hAnsi="Times New Roman" w:cs="Times New Roman"/>
          <w:sz w:val="24"/>
          <w:szCs w:val="24"/>
        </w:rPr>
        <w:t xml:space="preserve">2.8. </w:t>
      </w:r>
      <w:proofErr w:type="gramStart"/>
      <w:r w:rsidRPr="00E82C0F">
        <w:rPr>
          <w:rFonts w:ascii="Times New Roman" w:hAnsi="Times New Roman" w:cs="Times New Roman"/>
          <w:sz w:val="24"/>
          <w:szCs w:val="24"/>
        </w:rPr>
        <w:t>Начиная с 2018 года базовая ставка арендной платы</w:t>
      </w:r>
      <w:proofErr w:type="gramEnd"/>
      <w:r w:rsidRPr="00E82C0F">
        <w:rPr>
          <w:rFonts w:ascii="Times New Roman" w:hAnsi="Times New Roman" w:cs="Times New Roman"/>
          <w:sz w:val="24"/>
          <w:szCs w:val="24"/>
        </w:rPr>
        <w:t xml:space="preserve">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rsidR="00EF4174" w:rsidRPr="00E82C0F" w:rsidRDefault="00EF4174" w:rsidP="00EF4174">
      <w:pPr>
        <w:pStyle w:val="a3"/>
        <w:ind w:firstLine="540"/>
        <w:jc w:val="both"/>
        <w:rPr>
          <w:rFonts w:ascii="Times New Roman" w:hAnsi="Times New Roman" w:cs="Times New Roman"/>
          <w:sz w:val="24"/>
          <w:szCs w:val="24"/>
        </w:rPr>
      </w:pPr>
      <w:r w:rsidRPr="00E82C0F">
        <w:rPr>
          <w:rFonts w:ascii="Times New Roman" w:hAnsi="Times New Roman" w:cs="Times New Roman"/>
          <w:sz w:val="24"/>
          <w:szCs w:val="24"/>
        </w:rPr>
        <w:t xml:space="preserve">Индексация осуществляется ежегодно по состоянию на начало очередного финансового </w:t>
      </w:r>
      <w:proofErr w:type="gramStart"/>
      <w:r w:rsidRPr="00E82C0F">
        <w:rPr>
          <w:rFonts w:ascii="Times New Roman" w:hAnsi="Times New Roman" w:cs="Times New Roman"/>
          <w:sz w:val="24"/>
          <w:szCs w:val="24"/>
        </w:rPr>
        <w:t>года</w:t>
      </w:r>
      <w:proofErr w:type="gramEnd"/>
      <w:r w:rsidRPr="00E82C0F">
        <w:rPr>
          <w:rFonts w:ascii="Times New Roman" w:hAnsi="Times New Roman" w:cs="Times New Roman"/>
          <w:sz w:val="24"/>
          <w:szCs w:val="24"/>
        </w:rPr>
        <w:t xml:space="preserve"> начиная с года, следующего за годом, в котором заключен договор аренды.</w:t>
      </w:r>
    </w:p>
    <w:p w:rsidR="00EF4174" w:rsidRPr="00E82C0F" w:rsidRDefault="00EF4174" w:rsidP="00EF4174">
      <w:pPr>
        <w:pStyle w:val="a3"/>
        <w:ind w:firstLine="540"/>
        <w:jc w:val="both"/>
        <w:rPr>
          <w:rFonts w:ascii="Times New Roman" w:hAnsi="Times New Roman" w:cs="Times New Roman"/>
          <w:sz w:val="24"/>
          <w:szCs w:val="24"/>
        </w:rPr>
      </w:pPr>
      <w:r w:rsidRPr="00E82C0F">
        <w:rPr>
          <w:rFonts w:ascii="Times New Roman" w:hAnsi="Times New Roman" w:cs="Times New Roman"/>
          <w:sz w:val="24"/>
          <w:szCs w:val="24"/>
        </w:rPr>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rsidR="00EF4174" w:rsidRPr="00E82C0F" w:rsidRDefault="00EF4174" w:rsidP="00EF4174">
      <w:pPr>
        <w:pStyle w:val="a3"/>
        <w:ind w:firstLine="540"/>
        <w:jc w:val="both"/>
        <w:rPr>
          <w:rFonts w:ascii="Times New Roman" w:hAnsi="Times New Roman" w:cs="Times New Roman"/>
          <w:sz w:val="24"/>
          <w:szCs w:val="24"/>
        </w:rPr>
      </w:pPr>
      <w:r w:rsidRPr="00E82C0F">
        <w:rPr>
          <w:rFonts w:ascii="Times New Roman" w:hAnsi="Times New Roman" w:cs="Times New Roman"/>
          <w:sz w:val="24"/>
          <w:szCs w:val="24"/>
        </w:rPr>
        <w:t>2.9. Размер арендной платы пересматривается в одностороннем порядке по требованию арендодателя в случае:</w:t>
      </w:r>
    </w:p>
    <w:p w:rsidR="00EF4174" w:rsidRPr="00E82C0F" w:rsidRDefault="00EF4174" w:rsidP="00EF4174">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2C0F">
        <w:rPr>
          <w:rFonts w:ascii="Times New Roman" w:hAnsi="Times New Roman" w:cs="Times New Roman"/>
          <w:sz w:val="24"/>
          <w:szCs w:val="24"/>
        </w:rPr>
        <w:t xml:space="preserve">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w:t>
      </w:r>
      <w:proofErr w:type="gramStart"/>
      <w:r w:rsidRPr="00E82C0F">
        <w:rPr>
          <w:rFonts w:ascii="Times New Roman" w:hAnsi="Times New Roman" w:cs="Times New Roman"/>
          <w:sz w:val="24"/>
          <w:szCs w:val="24"/>
        </w:rPr>
        <w:t>В этом случае за год, в котором произведен перерасчет, индексация арендной платы с учетом размера уровня инфляции не производится;</w:t>
      </w:r>
      <w:proofErr w:type="gramEnd"/>
    </w:p>
    <w:p w:rsidR="00EF4174" w:rsidRPr="00E82C0F" w:rsidRDefault="00EF4174" w:rsidP="00EF4174">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2C0F">
        <w:rPr>
          <w:rFonts w:ascii="Times New Roman" w:hAnsi="Times New Roman" w:cs="Times New Roman"/>
          <w:sz w:val="24"/>
          <w:szCs w:val="24"/>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EF4174" w:rsidRPr="00E82C0F" w:rsidRDefault="00EF4174" w:rsidP="00EF4174">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82C0F">
        <w:rPr>
          <w:rFonts w:ascii="Times New Roman" w:hAnsi="Times New Roman" w:cs="Times New Roman"/>
          <w:sz w:val="24"/>
          <w:szCs w:val="24"/>
        </w:rPr>
        <w:t xml:space="preserve">изменения нормативных правовых актов Российской Федерации </w:t>
      </w:r>
      <w:proofErr w:type="gramStart"/>
      <w:r w:rsidRPr="00E82C0F">
        <w:rPr>
          <w:rFonts w:ascii="Times New Roman" w:hAnsi="Times New Roman" w:cs="Times New Roman"/>
          <w:sz w:val="24"/>
          <w:szCs w:val="24"/>
        </w:rPr>
        <w:t>и(</w:t>
      </w:r>
      <w:proofErr w:type="gramEnd"/>
      <w:r w:rsidRPr="00E82C0F">
        <w:rPr>
          <w:rFonts w:ascii="Times New Roman" w:hAnsi="Times New Roman" w:cs="Times New Roman"/>
          <w:sz w:val="24"/>
          <w:szCs w:val="24"/>
        </w:rPr>
        <w:t>или) нормативных правовых актов Ленинградской области, регулирующих исчисление арендной платы за использование земельных участков.</w:t>
      </w:r>
    </w:p>
    <w:p w:rsidR="00EF4174" w:rsidRPr="00E82C0F" w:rsidRDefault="00EF4174" w:rsidP="00EF4174">
      <w:pPr>
        <w:pStyle w:val="a3"/>
        <w:ind w:firstLine="540"/>
        <w:jc w:val="both"/>
        <w:rPr>
          <w:rFonts w:ascii="Times New Roman" w:hAnsi="Times New Roman" w:cs="Times New Roman"/>
          <w:sz w:val="24"/>
          <w:szCs w:val="24"/>
        </w:rPr>
      </w:pPr>
      <w:r w:rsidRPr="00E82C0F">
        <w:rPr>
          <w:rFonts w:ascii="Times New Roman" w:hAnsi="Times New Roman" w:cs="Times New Roman"/>
          <w:sz w:val="24"/>
          <w:szCs w:val="24"/>
        </w:rPr>
        <w:lastRenderedPageBreak/>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EF4174" w:rsidRPr="00E82C0F" w:rsidRDefault="00EF4174" w:rsidP="00EF4174">
      <w:pPr>
        <w:pStyle w:val="a3"/>
        <w:jc w:val="both"/>
        <w:rPr>
          <w:rFonts w:ascii="Times New Roman" w:hAnsi="Times New Roman" w:cs="Times New Roman"/>
          <w:sz w:val="24"/>
          <w:szCs w:val="24"/>
        </w:rPr>
      </w:pPr>
    </w:p>
    <w:p w:rsidR="00EF4174" w:rsidRPr="006821B9" w:rsidRDefault="00EF4174" w:rsidP="00EF4174">
      <w:pPr>
        <w:pStyle w:val="ConsPlusNormal"/>
        <w:rPr>
          <w:rFonts w:ascii="Times New Roman" w:hAnsi="Times New Roman" w:cs="Times New Roman"/>
          <w:sz w:val="24"/>
          <w:szCs w:val="24"/>
        </w:rPr>
      </w:pPr>
    </w:p>
    <w:p w:rsidR="00EF4174" w:rsidRPr="006821B9" w:rsidRDefault="00EF4174" w:rsidP="00EF4174">
      <w:pPr>
        <w:pStyle w:val="ConsPlusNormal"/>
      </w:pPr>
    </w:p>
    <w:p w:rsidR="00EF4174" w:rsidRPr="006821B9" w:rsidRDefault="00EF4174" w:rsidP="00EF4174">
      <w:pPr>
        <w:pStyle w:val="ConsPlusNormal"/>
      </w:pPr>
    </w:p>
    <w:p w:rsidR="006821B9" w:rsidRPr="006821B9" w:rsidRDefault="006821B9">
      <w:pPr>
        <w:pStyle w:val="ConsPlusNormal"/>
        <w:rPr>
          <w:rFonts w:ascii="Times New Roman" w:hAnsi="Times New Roman" w:cs="Times New Roman"/>
          <w:sz w:val="24"/>
          <w:szCs w:val="24"/>
        </w:rPr>
      </w:pPr>
    </w:p>
    <w:p w:rsidR="006821B9" w:rsidRPr="006821B9" w:rsidRDefault="006821B9">
      <w:pPr>
        <w:pStyle w:val="ConsPlusNormal"/>
      </w:pPr>
    </w:p>
    <w:p w:rsidR="006821B9" w:rsidRPr="006821B9" w:rsidRDefault="006821B9">
      <w:pPr>
        <w:pStyle w:val="ConsPlusNormal"/>
      </w:pPr>
    </w:p>
    <w:p w:rsidR="006821B9" w:rsidRPr="006821B9" w:rsidRDefault="006821B9">
      <w:pPr>
        <w:pStyle w:val="ConsPlusNormal"/>
      </w:pPr>
    </w:p>
    <w:p w:rsidR="006821B9" w:rsidRPr="006821B9" w:rsidRDefault="006821B9">
      <w:pPr>
        <w:sectPr w:rsidR="006821B9" w:rsidRPr="006821B9" w:rsidSect="007138C8">
          <w:pgSz w:w="11906" w:h="16838"/>
          <w:pgMar w:top="1134" w:right="850" w:bottom="1134" w:left="1701" w:header="708" w:footer="708" w:gutter="0"/>
          <w:cols w:space="708"/>
          <w:docGrid w:linePitch="360"/>
        </w:sectPr>
      </w:pPr>
    </w:p>
    <w:p w:rsidR="006821B9" w:rsidRPr="006821B9" w:rsidRDefault="006821B9">
      <w:pPr>
        <w:pStyle w:val="ConsPlusNormal"/>
        <w:jc w:val="right"/>
        <w:outlineLvl w:val="1"/>
        <w:rPr>
          <w:rFonts w:ascii="Times New Roman" w:hAnsi="Times New Roman" w:cs="Times New Roman"/>
          <w:sz w:val="24"/>
          <w:szCs w:val="24"/>
        </w:rPr>
      </w:pPr>
      <w:r w:rsidRPr="006821B9">
        <w:rPr>
          <w:rFonts w:ascii="Times New Roman" w:hAnsi="Times New Roman" w:cs="Times New Roman"/>
          <w:sz w:val="24"/>
          <w:szCs w:val="24"/>
        </w:rPr>
        <w:lastRenderedPageBreak/>
        <w:t>Приложение 1</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к Порядку...</w:t>
      </w:r>
    </w:p>
    <w:p w:rsidR="006821B9" w:rsidRPr="006821B9" w:rsidRDefault="006821B9">
      <w:pPr>
        <w:pStyle w:val="ConsPlusNormal"/>
        <w:ind w:firstLine="540"/>
        <w:jc w:val="both"/>
        <w:rPr>
          <w:rFonts w:ascii="Times New Roman" w:hAnsi="Times New Roman" w:cs="Times New Roman"/>
          <w:sz w:val="20"/>
        </w:rPr>
      </w:pPr>
    </w:p>
    <w:p w:rsidR="006821B9" w:rsidRPr="006821B9" w:rsidRDefault="006821B9">
      <w:pPr>
        <w:pStyle w:val="ConsPlusNormal"/>
        <w:jc w:val="center"/>
        <w:rPr>
          <w:rFonts w:ascii="Times New Roman" w:hAnsi="Times New Roman" w:cs="Times New Roman"/>
          <w:b/>
          <w:sz w:val="24"/>
          <w:szCs w:val="24"/>
        </w:rPr>
      </w:pPr>
      <w:bookmarkStart w:id="1" w:name="P110"/>
      <w:bookmarkEnd w:id="1"/>
      <w:r w:rsidRPr="006821B9">
        <w:rPr>
          <w:rFonts w:ascii="Times New Roman" w:hAnsi="Times New Roman" w:cs="Times New Roman"/>
          <w:b/>
          <w:sz w:val="24"/>
          <w:szCs w:val="24"/>
        </w:rPr>
        <w:t>БАЗОВЫЕ СТАВКИ АРЕНДНОЙ ПЛАТЫ (Б), РУБ./КВ. М В ГОД</w:t>
      </w:r>
    </w:p>
    <w:p w:rsidR="006821B9" w:rsidRPr="006821B9" w:rsidRDefault="006821B9" w:rsidP="006821B9">
      <w:pPr>
        <w:pStyle w:val="ConsPlusNormal"/>
        <w:jc w:val="both"/>
        <w:rPr>
          <w:rFonts w:ascii="Times New Roman" w:hAnsi="Times New Roman" w:cs="Times New Roman"/>
          <w:sz w:val="20"/>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1134"/>
        <w:gridCol w:w="1134"/>
        <w:gridCol w:w="1560"/>
        <w:gridCol w:w="1417"/>
        <w:gridCol w:w="1418"/>
        <w:gridCol w:w="1134"/>
        <w:gridCol w:w="1134"/>
        <w:gridCol w:w="992"/>
        <w:gridCol w:w="1134"/>
      </w:tblGrid>
      <w:tr w:rsidR="006821B9" w:rsidRPr="006821B9" w:rsidTr="006821B9">
        <w:tc>
          <w:tcPr>
            <w:tcW w:w="2047" w:type="dxa"/>
            <w:vMerge w:val="restart"/>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Наименование муниципального района (городского округа)</w:t>
            </w:r>
          </w:p>
        </w:tc>
        <w:tc>
          <w:tcPr>
            <w:tcW w:w="13041" w:type="dxa"/>
            <w:gridSpan w:val="10"/>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 Земли населенных пунктов</w:t>
            </w:r>
          </w:p>
        </w:tc>
      </w:tr>
      <w:tr w:rsidR="006821B9" w:rsidRPr="006821B9" w:rsidTr="006821B9">
        <w:tc>
          <w:tcPr>
            <w:tcW w:w="2047" w:type="dxa"/>
            <w:vMerge/>
            <w:vAlign w:val="center"/>
          </w:tcPr>
          <w:p w:rsidR="006821B9" w:rsidRPr="006821B9" w:rsidRDefault="006821B9" w:rsidP="006821B9">
            <w:pPr>
              <w:jc w:val="center"/>
              <w:rPr>
                <w:rFonts w:ascii="Times New Roman" w:hAnsi="Times New Roman" w:cs="Times New Roman"/>
                <w:sz w:val="20"/>
                <w:szCs w:val="20"/>
              </w:rPr>
            </w:pPr>
          </w:p>
        </w:tc>
        <w:tc>
          <w:tcPr>
            <w:tcW w:w="1984" w:type="dxa"/>
            <w:vMerge w:val="restart"/>
            <w:vAlign w:val="center"/>
          </w:tcPr>
          <w:p w:rsidR="006821B9" w:rsidRPr="006821B9" w:rsidRDefault="006821B9" w:rsidP="006821B9">
            <w:pPr>
              <w:pStyle w:val="ConsPlusNormal"/>
              <w:jc w:val="center"/>
              <w:rPr>
                <w:rFonts w:ascii="Times New Roman" w:hAnsi="Times New Roman" w:cs="Times New Roman"/>
                <w:sz w:val="20"/>
              </w:rPr>
            </w:pPr>
            <w:bookmarkStart w:id="2" w:name="P192"/>
            <w:bookmarkEnd w:id="2"/>
            <w:r w:rsidRPr="006821B9">
              <w:rPr>
                <w:rFonts w:ascii="Times New Roman" w:hAnsi="Times New Roman" w:cs="Times New Roman"/>
                <w:sz w:val="20"/>
              </w:rPr>
              <w:t>2.1.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w:t>
            </w:r>
          </w:p>
        </w:tc>
        <w:tc>
          <w:tcPr>
            <w:tcW w:w="5245" w:type="dxa"/>
            <w:gridSpan w:val="4"/>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2.2. Земли населенных пунктов, предоставляемые физическим лицам для ведения личного подсобного хозяйства, садоводства, огородничества, животноводства, сенокошения и выпаса скота</w:t>
            </w:r>
          </w:p>
        </w:tc>
        <w:tc>
          <w:tcPr>
            <w:tcW w:w="1418" w:type="dxa"/>
            <w:vMerge w:val="restart"/>
            <w:vAlign w:val="center"/>
          </w:tcPr>
          <w:p w:rsidR="006821B9" w:rsidRPr="006821B9" w:rsidRDefault="006821B9" w:rsidP="006821B9">
            <w:pPr>
              <w:pStyle w:val="ConsPlusNormal"/>
              <w:jc w:val="center"/>
              <w:rPr>
                <w:rFonts w:ascii="Times New Roman" w:hAnsi="Times New Roman" w:cs="Times New Roman"/>
                <w:sz w:val="20"/>
              </w:rPr>
            </w:pPr>
            <w:bookmarkStart w:id="3" w:name="P194"/>
            <w:bookmarkEnd w:id="3"/>
            <w:r w:rsidRPr="006821B9">
              <w:rPr>
                <w:rFonts w:ascii="Times New Roman" w:hAnsi="Times New Roman" w:cs="Times New Roman"/>
                <w:sz w:val="20"/>
              </w:rPr>
              <w:t>2.3. Земли населенных пунктов, предоставляемые сельскохозяйственным производителям (в том числе крестьянским (фермерским) хозяйствам) для ведения сельскохозяйственной деятельности</w:t>
            </w:r>
          </w:p>
        </w:tc>
        <w:tc>
          <w:tcPr>
            <w:tcW w:w="4394" w:type="dxa"/>
            <w:gridSpan w:val="4"/>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2.4. Земельные участки из категории земель населенных пунктов, предоставляемые для иных целей (</w:t>
            </w:r>
            <w:proofErr w:type="gramStart"/>
            <w:r w:rsidRPr="006821B9">
              <w:rPr>
                <w:rFonts w:ascii="Times New Roman" w:hAnsi="Times New Roman" w:cs="Times New Roman"/>
                <w:sz w:val="20"/>
              </w:rPr>
              <w:t>кроме</w:t>
            </w:r>
            <w:proofErr w:type="gramEnd"/>
            <w:r w:rsidRPr="006821B9">
              <w:rPr>
                <w:rFonts w:ascii="Times New Roman" w:hAnsi="Times New Roman" w:cs="Times New Roman"/>
                <w:sz w:val="20"/>
              </w:rPr>
              <w:t xml:space="preserve"> указанных в </w:t>
            </w:r>
            <w:hyperlink w:anchor="P192" w:history="1">
              <w:r w:rsidRPr="006821B9">
                <w:rPr>
                  <w:rFonts w:ascii="Times New Roman" w:hAnsi="Times New Roman" w:cs="Times New Roman"/>
                  <w:sz w:val="20"/>
                </w:rPr>
                <w:t>пунктах 2.1</w:t>
              </w:r>
            </w:hyperlink>
            <w:r w:rsidRPr="006821B9">
              <w:rPr>
                <w:rFonts w:ascii="Times New Roman" w:hAnsi="Times New Roman" w:cs="Times New Roman"/>
                <w:sz w:val="20"/>
              </w:rPr>
              <w:t xml:space="preserve"> - </w:t>
            </w:r>
            <w:hyperlink w:anchor="P194" w:history="1">
              <w:r w:rsidRPr="006821B9">
                <w:rPr>
                  <w:rFonts w:ascii="Times New Roman" w:hAnsi="Times New Roman" w:cs="Times New Roman"/>
                  <w:sz w:val="20"/>
                </w:rPr>
                <w:t>2.3</w:t>
              </w:r>
            </w:hyperlink>
            <w:r w:rsidRPr="006821B9">
              <w:rPr>
                <w:rFonts w:ascii="Times New Roman" w:hAnsi="Times New Roman" w:cs="Times New Roman"/>
                <w:sz w:val="20"/>
              </w:rPr>
              <w:t xml:space="preserve"> и </w:t>
            </w:r>
            <w:hyperlink w:anchor="P563" w:history="1">
              <w:r w:rsidRPr="006821B9">
                <w:rPr>
                  <w:rFonts w:ascii="Times New Roman" w:hAnsi="Times New Roman" w:cs="Times New Roman"/>
                  <w:sz w:val="20"/>
                </w:rPr>
                <w:t>5</w:t>
              </w:r>
            </w:hyperlink>
            <w:r w:rsidRPr="006821B9">
              <w:rPr>
                <w:rFonts w:ascii="Times New Roman" w:hAnsi="Times New Roman" w:cs="Times New Roman"/>
                <w:sz w:val="20"/>
              </w:rPr>
              <w:t>)</w:t>
            </w:r>
          </w:p>
        </w:tc>
      </w:tr>
      <w:tr w:rsidR="006821B9" w:rsidRPr="006821B9" w:rsidTr="006821B9">
        <w:tc>
          <w:tcPr>
            <w:tcW w:w="2047" w:type="dxa"/>
            <w:vMerge/>
            <w:vAlign w:val="center"/>
          </w:tcPr>
          <w:p w:rsidR="006821B9" w:rsidRPr="006821B9" w:rsidRDefault="006821B9" w:rsidP="006821B9">
            <w:pPr>
              <w:jc w:val="center"/>
              <w:rPr>
                <w:rFonts w:ascii="Times New Roman" w:hAnsi="Times New Roman" w:cs="Times New Roman"/>
                <w:sz w:val="20"/>
                <w:szCs w:val="20"/>
              </w:rPr>
            </w:pPr>
          </w:p>
        </w:tc>
        <w:tc>
          <w:tcPr>
            <w:tcW w:w="1984" w:type="dxa"/>
            <w:vMerge/>
            <w:vAlign w:val="center"/>
          </w:tcPr>
          <w:p w:rsidR="006821B9" w:rsidRPr="006821B9" w:rsidRDefault="006821B9" w:rsidP="006821B9">
            <w:pPr>
              <w:jc w:val="center"/>
              <w:rPr>
                <w:rFonts w:ascii="Times New Roman" w:hAnsi="Times New Roman" w:cs="Times New Roman"/>
                <w:sz w:val="20"/>
                <w:szCs w:val="20"/>
              </w:rPr>
            </w:pP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сельских населенных пунктах</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до 20 тыс. чел.</w:t>
            </w:r>
          </w:p>
        </w:tc>
        <w:tc>
          <w:tcPr>
            <w:tcW w:w="1560"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20 тыс. до 50 тыс. чел.</w:t>
            </w:r>
          </w:p>
        </w:tc>
        <w:tc>
          <w:tcPr>
            <w:tcW w:w="1417"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50 тыс. чел.</w:t>
            </w:r>
          </w:p>
        </w:tc>
        <w:tc>
          <w:tcPr>
            <w:tcW w:w="1418" w:type="dxa"/>
            <w:vMerge/>
            <w:vAlign w:val="center"/>
          </w:tcPr>
          <w:p w:rsidR="006821B9" w:rsidRPr="006821B9" w:rsidRDefault="006821B9" w:rsidP="006821B9">
            <w:pPr>
              <w:jc w:val="center"/>
              <w:rPr>
                <w:rFonts w:ascii="Times New Roman" w:hAnsi="Times New Roman" w:cs="Times New Roman"/>
                <w:sz w:val="20"/>
                <w:szCs w:val="20"/>
              </w:rPr>
            </w:pP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сельских населенных пунктах</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до 20 тыс. чел.</w:t>
            </w:r>
          </w:p>
        </w:tc>
        <w:tc>
          <w:tcPr>
            <w:tcW w:w="992"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20 тыс. до 50 тыс. чел.</w:t>
            </w:r>
          </w:p>
        </w:tc>
        <w:tc>
          <w:tcPr>
            <w:tcW w:w="1134"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в городских населенных пунктах с численностью населения от 50 тыс. чел.</w:t>
            </w:r>
          </w:p>
        </w:tc>
      </w:tr>
      <w:tr w:rsidR="006821B9" w:rsidRPr="006821B9" w:rsidTr="006821B9">
        <w:tc>
          <w:tcPr>
            <w:tcW w:w="2047"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Сосновоборский городской округ</w:t>
            </w:r>
          </w:p>
        </w:tc>
        <w:tc>
          <w:tcPr>
            <w:tcW w:w="1984"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1,82</w:t>
            </w:r>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560"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417"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1,27</w:t>
            </w:r>
          </w:p>
        </w:tc>
        <w:tc>
          <w:tcPr>
            <w:tcW w:w="1418"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0,0554</w:t>
            </w:r>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992"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Pr>
                <w:rFonts w:ascii="Times New Roman" w:hAnsi="Times New Roman" w:cs="Times New Roman"/>
                <w:b/>
                <w:sz w:val="20"/>
              </w:rPr>
              <w:t>х</w:t>
            </w:r>
            <w:proofErr w:type="spellEnd"/>
          </w:p>
        </w:tc>
        <w:tc>
          <w:tcPr>
            <w:tcW w:w="1134"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40,86</w:t>
            </w:r>
          </w:p>
        </w:tc>
      </w:tr>
    </w:tbl>
    <w:p w:rsidR="006821B9" w:rsidRPr="006821B9" w:rsidRDefault="006821B9">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5251"/>
        <w:gridCol w:w="5528"/>
      </w:tblGrid>
      <w:tr w:rsidR="006821B9" w:rsidRPr="006821B9" w:rsidTr="006821B9">
        <w:tc>
          <w:tcPr>
            <w:tcW w:w="4309" w:type="dxa"/>
            <w:vMerge w:val="restart"/>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Наименование муниципального района (городского округа)</w:t>
            </w:r>
          </w:p>
        </w:tc>
        <w:tc>
          <w:tcPr>
            <w:tcW w:w="10779" w:type="dxa"/>
            <w:gridSpan w:val="2"/>
            <w:vAlign w:val="center"/>
          </w:tcPr>
          <w:p w:rsidR="006821B9" w:rsidRPr="006821B9" w:rsidRDefault="006821B9" w:rsidP="006821B9">
            <w:pPr>
              <w:pStyle w:val="ConsPlusNormal"/>
              <w:jc w:val="center"/>
              <w:rPr>
                <w:rFonts w:ascii="Times New Roman" w:hAnsi="Times New Roman" w:cs="Times New Roman"/>
                <w:sz w:val="20"/>
              </w:rPr>
            </w:pPr>
            <w:bookmarkStart w:id="4" w:name="P563"/>
            <w:bookmarkEnd w:id="4"/>
            <w:r w:rsidRPr="006821B9">
              <w:rPr>
                <w:rFonts w:ascii="Times New Roman" w:hAnsi="Times New Roman" w:cs="Times New Roman"/>
                <w:sz w:val="20"/>
              </w:rPr>
              <w:t xml:space="preserve">5. Земельные участки, предоставляемые для организации пляжей и благоустройства, в границах </w:t>
            </w:r>
            <w:proofErr w:type="spellStart"/>
            <w:r w:rsidRPr="006821B9">
              <w:rPr>
                <w:rFonts w:ascii="Times New Roman" w:hAnsi="Times New Roman" w:cs="Times New Roman"/>
                <w:sz w:val="20"/>
              </w:rPr>
              <w:t>водоохранных</w:t>
            </w:r>
            <w:proofErr w:type="spellEnd"/>
            <w:r w:rsidRPr="006821B9">
              <w:rPr>
                <w:rFonts w:ascii="Times New Roman" w:hAnsi="Times New Roman" w:cs="Times New Roman"/>
                <w:sz w:val="20"/>
              </w:rPr>
              <w:t xml:space="preserve"> зон, без права возведения объектов капитального строительства</w:t>
            </w:r>
          </w:p>
        </w:tc>
      </w:tr>
      <w:tr w:rsidR="006821B9" w:rsidRPr="006821B9" w:rsidTr="006821B9">
        <w:tc>
          <w:tcPr>
            <w:tcW w:w="4309" w:type="dxa"/>
            <w:vMerge/>
            <w:vAlign w:val="center"/>
          </w:tcPr>
          <w:p w:rsidR="006821B9" w:rsidRPr="006821B9" w:rsidRDefault="006821B9" w:rsidP="006821B9">
            <w:pPr>
              <w:pStyle w:val="ConsPlusNormal"/>
              <w:jc w:val="center"/>
              <w:rPr>
                <w:rFonts w:ascii="Times New Roman" w:hAnsi="Times New Roman" w:cs="Times New Roman"/>
                <w:sz w:val="20"/>
              </w:rPr>
            </w:pPr>
          </w:p>
        </w:tc>
        <w:tc>
          <w:tcPr>
            <w:tcW w:w="5251"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5.1. Земельные участки из категории земель населенных пунктов</w:t>
            </w:r>
          </w:p>
        </w:tc>
        <w:tc>
          <w:tcPr>
            <w:tcW w:w="5528" w:type="dxa"/>
            <w:vAlign w:val="center"/>
          </w:tcPr>
          <w:p w:rsidR="006821B9" w:rsidRPr="006821B9" w:rsidRDefault="006821B9" w:rsidP="006821B9">
            <w:pPr>
              <w:pStyle w:val="ConsPlusNormal"/>
              <w:jc w:val="center"/>
              <w:rPr>
                <w:rFonts w:ascii="Times New Roman" w:hAnsi="Times New Roman" w:cs="Times New Roman"/>
                <w:sz w:val="20"/>
              </w:rPr>
            </w:pPr>
            <w:r w:rsidRPr="006821B9">
              <w:rPr>
                <w:rFonts w:ascii="Times New Roman" w:hAnsi="Times New Roman" w:cs="Times New Roman"/>
                <w:sz w:val="20"/>
              </w:rPr>
              <w:t>5.2. Земельные участки иных категорий, кроме земель населенных пунктов</w:t>
            </w:r>
          </w:p>
        </w:tc>
      </w:tr>
      <w:tr w:rsidR="006821B9" w:rsidRPr="006821B9" w:rsidTr="006821B9">
        <w:tc>
          <w:tcPr>
            <w:tcW w:w="4309"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Сосновоборский городской округ</w:t>
            </w:r>
          </w:p>
        </w:tc>
        <w:tc>
          <w:tcPr>
            <w:tcW w:w="5251" w:type="dxa"/>
            <w:vAlign w:val="center"/>
          </w:tcPr>
          <w:p w:rsidR="006821B9" w:rsidRPr="006821B9" w:rsidRDefault="006821B9" w:rsidP="006821B9">
            <w:pPr>
              <w:pStyle w:val="ConsPlusNormal"/>
              <w:jc w:val="center"/>
              <w:rPr>
                <w:rFonts w:ascii="Times New Roman" w:hAnsi="Times New Roman" w:cs="Times New Roman"/>
                <w:b/>
                <w:sz w:val="20"/>
              </w:rPr>
            </w:pPr>
            <w:r w:rsidRPr="006821B9">
              <w:rPr>
                <w:rFonts w:ascii="Times New Roman" w:hAnsi="Times New Roman" w:cs="Times New Roman"/>
                <w:b/>
                <w:sz w:val="20"/>
              </w:rPr>
              <w:t>2,23</w:t>
            </w:r>
          </w:p>
        </w:tc>
        <w:tc>
          <w:tcPr>
            <w:tcW w:w="5528" w:type="dxa"/>
            <w:vAlign w:val="center"/>
          </w:tcPr>
          <w:p w:rsidR="006821B9" w:rsidRPr="006821B9" w:rsidRDefault="006821B9" w:rsidP="006821B9">
            <w:pPr>
              <w:pStyle w:val="ConsPlusNormal"/>
              <w:jc w:val="center"/>
              <w:rPr>
                <w:rFonts w:ascii="Times New Roman" w:hAnsi="Times New Roman" w:cs="Times New Roman"/>
                <w:b/>
                <w:sz w:val="20"/>
              </w:rPr>
            </w:pPr>
            <w:proofErr w:type="spellStart"/>
            <w:r w:rsidRPr="006821B9">
              <w:rPr>
                <w:rFonts w:ascii="Times New Roman" w:hAnsi="Times New Roman" w:cs="Times New Roman"/>
                <w:b/>
                <w:sz w:val="20"/>
              </w:rPr>
              <w:t>х</w:t>
            </w:r>
            <w:proofErr w:type="spellEnd"/>
          </w:p>
        </w:tc>
      </w:tr>
    </w:tbl>
    <w:p w:rsidR="006821B9" w:rsidRPr="006821B9" w:rsidRDefault="006821B9">
      <w:pPr>
        <w:sectPr w:rsidR="006821B9" w:rsidRPr="006821B9">
          <w:pgSz w:w="16838" w:h="11905" w:orient="landscape"/>
          <w:pgMar w:top="1701" w:right="1134" w:bottom="850" w:left="1134" w:header="0" w:footer="0" w:gutter="0"/>
          <w:cols w:space="720"/>
        </w:sectPr>
      </w:pPr>
    </w:p>
    <w:p w:rsidR="006821B9" w:rsidRPr="006821B9" w:rsidRDefault="006821B9">
      <w:pPr>
        <w:pStyle w:val="ConsPlusNormal"/>
        <w:jc w:val="right"/>
        <w:outlineLvl w:val="1"/>
        <w:rPr>
          <w:rFonts w:ascii="Times New Roman" w:hAnsi="Times New Roman" w:cs="Times New Roman"/>
          <w:sz w:val="24"/>
          <w:szCs w:val="24"/>
        </w:rPr>
      </w:pPr>
      <w:r w:rsidRPr="006821B9">
        <w:rPr>
          <w:rFonts w:ascii="Times New Roman" w:hAnsi="Times New Roman" w:cs="Times New Roman"/>
          <w:sz w:val="24"/>
          <w:szCs w:val="24"/>
        </w:rPr>
        <w:lastRenderedPageBreak/>
        <w:t>Приложение 2</w:t>
      </w:r>
    </w:p>
    <w:p w:rsidR="006821B9" w:rsidRPr="006821B9" w:rsidRDefault="006821B9">
      <w:pPr>
        <w:pStyle w:val="ConsPlusNormal"/>
        <w:jc w:val="right"/>
        <w:rPr>
          <w:rFonts w:ascii="Times New Roman" w:hAnsi="Times New Roman" w:cs="Times New Roman"/>
          <w:sz w:val="24"/>
          <w:szCs w:val="24"/>
        </w:rPr>
      </w:pPr>
      <w:r w:rsidRPr="006821B9">
        <w:rPr>
          <w:rFonts w:ascii="Times New Roman" w:hAnsi="Times New Roman" w:cs="Times New Roman"/>
          <w:sz w:val="24"/>
          <w:szCs w:val="24"/>
        </w:rPr>
        <w:t>к Порядку...</w:t>
      </w:r>
    </w:p>
    <w:p w:rsidR="006821B9" w:rsidRPr="006821B9" w:rsidRDefault="006821B9">
      <w:pPr>
        <w:pStyle w:val="ConsPlusNormal"/>
        <w:ind w:firstLine="540"/>
        <w:jc w:val="both"/>
        <w:rPr>
          <w:rFonts w:ascii="Times New Roman" w:hAnsi="Times New Roman" w:cs="Times New Roman"/>
          <w:sz w:val="24"/>
          <w:szCs w:val="24"/>
        </w:rPr>
      </w:pPr>
    </w:p>
    <w:p w:rsidR="006821B9" w:rsidRPr="006821B9" w:rsidRDefault="006821B9">
      <w:pPr>
        <w:pStyle w:val="ConsPlusNormal"/>
        <w:jc w:val="center"/>
        <w:rPr>
          <w:rFonts w:ascii="Times New Roman" w:hAnsi="Times New Roman" w:cs="Times New Roman"/>
          <w:b/>
          <w:sz w:val="24"/>
          <w:szCs w:val="24"/>
        </w:rPr>
      </w:pPr>
      <w:bookmarkStart w:id="5" w:name="P632"/>
      <w:bookmarkEnd w:id="5"/>
      <w:r w:rsidRPr="006821B9">
        <w:rPr>
          <w:rFonts w:ascii="Times New Roman" w:hAnsi="Times New Roman" w:cs="Times New Roman"/>
          <w:b/>
          <w:sz w:val="24"/>
          <w:szCs w:val="24"/>
        </w:rPr>
        <w:t>КОЭФФИЦИЕНТЫ УЧЕТА ВОДООХРАННОЙ ЗОНЫ И ПРИБРЕЖНОЙ</w:t>
      </w:r>
    </w:p>
    <w:p w:rsidR="006821B9" w:rsidRPr="006821B9" w:rsidRDefault="006821B9">
      <w:pPr>
        <w:pStyle w:val="ConsPlusNormal"/>
        <w:jc w:val="center"/>
        <w:rPr>
          <w:rFonts w:ascii="Times New Roman" w:hAnsi="Times New Roman" w:cs="Times New Roman"/>
          <w:b/>
          <w:sz w:val="24"/>
          <w:szCs w:val="24"/>
        </w:rPr>
      </w:pPr>
      <w:r w:rsidRPr="006821B9">
        <w:rPr>
          <w:rFonts w:ascii="Times New Roman" w:hAnsi="Times New Roman" w:cs="Times New Roman"/>
          <w:b/>
          <w:sz w:val="24"/>
          <w:szCs w:val="24"/>
        </w:rPr>
        <w:t>ЗАЩИТНОЙ ПОЛОСЫ (</w:t>
      </w:r>
      <w:proofErr w:type="spellStart"/>
      <w:r w:rsidRPr="006821B9">
        <w:rPr>
          <w:rFonts w:ascii="Times New Roman" w:hAnsi="Times New Roman" w:cs="Times New Roman"/>
          <w:b/>
          <w:sz w:val="24"/>
          <w:szCs w:val="24"/>
        </w:rPr>
        <w:t>Ку</w:t>
      </w:r>
      <w:proofErr w:type="spellEnd"/>
      <w:r w:rsidRPr="006821B9">
        <w:rPr>
          <w:rFonts w:ascii="Times New Roman" w:hAnsi="Times New Roman" w:cs="Times New Roman"/>
          <w:b/>
          <w:sz w:val="24"/>
          <w:szCs w:val="24"/>
        </w:rPr>
        <w:t>)</w:t>
      </w:r>
    </w:p>
    <w:p w:rsidR="006821B9" w:rsidRPr="006821B9" w:rsidRDefault="006821B9">
      <w:pPr>
        <w:pStyle w:val="ConsPlusNormal"/>
        <w:ind w:firstLine="540"/>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075"/>
        <w:gridCol w:w="1531"/>
      </w:tblGrid>
      <w:tr w:rsidR="006821B9" w:rsidRPr="006821B9" w:rsidTr="006821B9">
        <w:trPr>
          <w:jc w:val="center"/>
        </w:trPr>
        <w:tc>
          <w:tcPr>
            <w:tcW w:w="8075"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Обременения земельного участка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proofErr w:type="spellStart"/>
            <w:r w:rsidRPr="006821B9">
              <w:rPr>
                <w:rFonts w:ascii="Times New Roman" w:hAnsi="Times New Roman" w:cs="Times New Roman"/>
                <w:sz w:val="24"/>
                <w:szCs w:val="24"/>
              </w:rPr>
              <w:t>Ку</w:t>
            </w:r>
            <w:proofErr w:type="spellEnd"/>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Водоохранная зона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2</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Прибрежная защитная полоса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3</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Водоохранная зона и прибрежная защитная полоса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3</w:t>
            </w:r>
          </w:p>
        </w:tc>
      </w:tr>
      <w:tr w:rsidR="006821B9" w:rsidRPr="006821B9" w:rsidTr="006821B9">
        <w:trPr>
          <w:jc w:val="center"/>
        </w:trPr>
        <w:tc>
          <w:tcPr>
            <w:tcW w:w="8075" w:type="dxa"/>
            <w:vAlign w:val="center"/>
          </w:tcPr>
          <w:p w:rsidR="006821B9" w:rsidRPr="006821B9" w:rsidRDefault="006821B9" w:rsidP="006821B9">
            <w:pPr>
              <w:pStyle w:val="ConsPlusNormal"/>
              <w:rPr>
                <w:rFonts w:ascii="Times New Roman" w:hAnsi="Times New Roman" w:cs="Times New Roman"/>
                <w:sz w:val="24"/>
                <w:szCs w:val="24"/>
              </w:rPr>
            </w:pPr>
            <w:r w:rsidRPr="006821B9">
              <w:rPr>
                <w:rFonts w:ascii="Times New Roman" w:hAnsi="Times New Roman" w:cs="Times New Roman"/>
                <w:sz w:val="24"/>
                <w:szCs w:val="24"/>
              </w:rPr>
              <w:t xml:space="preserve">Водоохранная зона </w:t>
            </w:r>
            <w:proofErr w:type="gramStart"/>
            <w:r w:rsidRPr="006821B9">
              <w:rPr>
                <w:rFonts w:ascii="Times New Roman" w:hAnsi="Times New Roman" w:cs="Times New Roman"/>
                <w:sz w:val="24"/>
                <w:szCs w:val="24"/>
              </w:rPr>
              <w:t>и(</w:t>
            </w:r>
            <w:proofErr w:type="gramEnd"/>
            <w:r w:rsidRPr="006821B9">
              <w:rPr>
                <w:rFonts w:ascii="Times New Roman" w:hAnsi="Times New Roman" w:cs="Times New Roman"/>
                <w:sz w:val="24"/>
                <w:szCs w:val="24"/>
              </w:rPr>
              <w:t>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vAlign w:val="center"/>
          </w:tcPr>
          <w:p w:rsidR="006821B9" w:rsidRPr="006821B9" w:rsidRDefault="006821B9" w:rsidP="006821B9">
            <w:pPr>
              <w:pStyle w:val="ConsPlusNormal"/>
              <w:jc w:val="center"/>
              <w:rPr>
                <w:rFonts w:ascii="Times New Roman" w:hAnsi="Times New Roman" w:cs="Times New Roman"/>
                <w:sz w:val="24"/>
                <w:szCs w:val="24"/>
              </w:rPr>
            </w:pPr>
            <w:r w:rsidRPr="006821B9">
              <w:rPr>
                <w:rFonts w:ascii="Times New Roman" w:hAnsi="Times New Roman" w:cs="Times New Roman"/>
                <w:sz w:val="24"/>
                <w:szCs w:val="24"/>
              </w:rPr>
              <w:t>1</w:t>
            </w:r>
          </w:p>
        </w:tc>
      </w:tr>
    </w:tbl>
    <w:p w:rsidR="006821B9" w:rsidRPr="006821B9" w:rsidRDefault="006821B9">
      <w:pPr>
        <w:pStyle w:val="ConsPlusNormal"/>
      </w:pPr>
    </w:p>
    <w:p w:rsidR="006821B9" w:rsidRPr="006821B9" w:rsidRDefault="006821B9">
      <w:pPr>
        <w:pStyle w:val="ConsPlusNormal"/>
      </w:pPr>
    </w:p>
    <w:p w:rsidR="003D1EAF" w:rsidRPr="006821B9" w:rsidRDefault="00EF4174"/>
    <w:sectPr w:rsidR="003D1EAF" w:rsidRPr="006821B9" w:rsidSect="009C3F8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21B9"/>
    <w:rsid w:val="0001208D"/>
    <w:rsid w:val="0003287B"/>
    <w:rsid w:val="0006150A"/>
    <w:rsid w:val="00063D74"/>
    <w:rsid w:val="0006715D"/>
    <w:rsid w:val="0008436E"/>
    <w:rsid w:val="000B081B"/>
    <w:rsid w:val="000B5CA4"/>
    <w:rsid w:val="00100083"/>
    <w:rsid w:val="00101E2D"/>
    <w:rsid w:val="00104737"/>
    <w:rsid w:val="00141FBB"/>
    <w:rsid w:val="0014571E"/>
    <w:rsid w:val="00173E20"/>
    <w:rsid w:val="001831F8"/>
    <w:rsid w:val="001B5B93"/>
    <w:rsid w:val="001D7037"/>
    <w:rsid w:val="001E68FF"/>
    <w:rsid w:val="00205B3E"/>
    <w:rsid w:val="00210CFE"/>
    <w:rsid w:val="002479FD"/>
    <w:rsid w:val="002759AB"/>
    <w:rsid w:val="00283BB4"/>
    <w:rsid w:val="00287365"/>
    <w:rsid w:val="0029347E"/>
    <w:rsid w:val="002A32D9"/>
    <w:rsid w:val="002C5940"/>
    <w:rsid w:val="002D0962"/>
    <w:rsid w:val="002D6051"/>
    <w:rsid w:val="002F3855"/>
    <w:rsid w:val="003217D7"/>
    <w:rsid w:val="00330402"/>
    <w:rsid w:val="00331361"/>
    <w:rsid w:val="0034334E"/>
    <w:rsid w:val="003564D7"/>
    <w:rsid w:val="0038150D"/>
    <w:rsid w:val="003933EF"/>
    <w:rsid w:val="003C2D95"/>
    <w:rsid w:val="003E303D"/>
    <w:rsid w:val="00414D12"/>
    <w:rsid w:val="00415F25"/>
    <w:rsid w:val="00417EFD"/>
    <w:rsid w:val="00435603"/>
    <w:rsid w:val="00491159"/>
    <w:rsid w:val="00494FFF"/>
    <w:rsid w:val="004A53DD"/>
    <w:rsid w:val="004D3E6E"/>
    <w:rsid w:val="004D45F1"/>
    <w:rsid w:val="004E2456"/>
    <w:rsid w:val="00557980"/>
    <w:rsid w:val="0056226D"/>
    <w:rsid w:val="005648B6"/>
    <w:rsid w:val="00597CCD"/>
    <w:rsid w:val="005A3CC1"/>
    <w:rsid w:val="005D4295"/>
    <w:rsid w:val="005D4F5B"/>
    <w:rsid w:val="005D7CD0"/>
    <w:rsid w:val="005F0F91"/>
    <w:rsid w:val="005F631B"/>
    <w:rsid w:val="00611589"/>
    <w:rsid w:val="0064354C"/>
    <w:rsid w:val="0064558A"/>
    <w:rsid w:val="0066353B"/>
    <w:rsid w:val="006821B9"/>
    <w:rsid w:val="006B5204"/>
    <w:rsid w:val="006C6718"/>
    <w:rsid w:val="006F3BDD"/>
    <w:rsid w:val="00737E83"/>
    <w:rsid w:val="007617BC"/>
    <w:rsid w:val="0078138F"/>
    <w:rsid w:val="00793113"/>
    <w:rsid w:val="0079359B"/>
    <w:rsid w:val="007C3167"/>
    <w:rsid w:val="007D0809"/>
    <w:rsid w:val="007D28CA"/>
    <w:rsid w:val="007D6532"/>
    <w:rsid w:val="007E39F5"/>
    <w:rsid w:val="00804111"/>
    <w:rsid w:val="00804783"/>
    <w:rsid w:val="00837401"/>
    <w:rsid w:val="00874F64"/>
    <w:rsid w:val="00884C01"/>
    <w:rsid w:val="00894724"/>
    <w:rsid w:val="008C2CA3"/>
    <w:rsid w:val="008D6D52"/>
    <w:rsid w:val="008E7FC2"/>
    <w:rsid w:val="00901656"/>
    <w:rsid w:val="0090462D"/>
    <w:rsid w:val="00931B3B"/>
    <w:rsid w:val="009508B7"/>
    <w:rsid w:val="00960238"/>
    <w:rsid w:val="00984276"/>
    <w:rsid w:val="009871E3"/>
    <w:rsid w:val="009953C7"/>
    <w:rsid w:val="009D42AF"/>
    <w:rsid w:val="00A04004"/>
    <w:rsid w:val="00A226A8"/>
    <w:rsid w:val="00A43CE8"/>
    <w:rsid w:val="00A7614D"/>
    <w:rsid w:val="00A81663"/>
    <w:rsid w:val="00A85109"/>
    <w:rsid w:val="00AB58EB"/>
    <w:rsid w:val="00AC2AD9"/>
    <w:rsid w:val="00AC6D55"/>
    <w:rsid w:val="00AE6422"/>
    <w:rsid w:val="00B065BA"/>
    <w:rsid w:val="00B13FB9"/>
    <w:rsid w:val="00B25AD4"/>
    <w:rsid w:val="00B271A6"/>
    <w:rsid w:val="00B77BB6"/>
    <w:rsid w:val="00B84918"/>
    <w:rsid w:val="00B93D8F"/>
    <w:rsid w:val="00B95462"/>
    <w:rsid w:val="00BE76AB"/>
    <w:rsid w:val="00C32258"/>
    <w:rsid w:val="00C82BB5"/>
    <w:rsid w:val="00CA579B"/>
    <w:rsid w:val="00CB102D"/>
    <w:rsid w:val="00CB62D6"/>
    <w:rsid w:val="00CC4600"/>
    <w:rsid w:val="00CD0560"/>
    <w:rsid w:val="00D105B6"/>
    <w:rsid w:val="00D34098"/>
    <w:rsid w:val="00D348CC"/>
    <w:rsid w:val="00D34AF6"/>
    <w:rsid w:val="00D417F0"/>
    <w:rsid w:val="00D521BB"/>
    <w:rsid w:val="00D5303F"/>
    <w:rsid w:val="00DA7C8C"/>
    <w:rsid w:val="00DB092C"/>
    <w:rsid w:val="00DC1EC6"/>
    <w:rsid w:val="00DE152E"/>
    <w:rsid w:val="00DE75E8"/>
    <w:rsid w:val="00DF7D02"/>
    <w:rsid w:val="00E02D2D"/>
    <w:rsid w:val="00E34D04"/>
    <w:rsid w:val="00E61BB9"/>
    <w:rsid w:val="00EB18E0"/>
    <w:rsid w:val="00EF4174"/>
    <w:rsid w:val="00EF6D20"/>
    <w:rsid w:val="00F044C5"/>
    <w:rsid w:val="00F217A7"/>
    <w:rsid w:val="00F353AD"/>
    <w:rsid w:val="00F80426"/>
    <w:rsid w:val="00F8450B"/>
    <w:rsid w:val="00F97819"/>
    <w:rsid w:val="00FB159B"/>
    <w:rsid w:val="00FE3540"/>
    <w:rsid w:val="00FE4AA4"/>
    <w:rsid w:val="00FF0A4A"/>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1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21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21B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EF4174"/>
    <w:pPr>
      <w:spacing w:after="0" w:line="240" w:lineRule="auto"/>
    </w:pPr>
  </w:style>
  <w:style w:type="paragraph" w:styleId="a4">
    <w:name w:val="Balloon Text"/>
    <w:basedOn w:val="a"/>
    <w:link w:val="a5"/>
    <w:uiPriority w:val="99"/>
    <w:semiHidden/>
    <w:unhideWhenUsed/>
    <w:rsid w:val="00EF41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41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22D8388D3BBF2AD40447EDF6926B619FF1E1E91D321DF89B0CC7263DF36A285A2607C20E72KEqBN" TargetMode="External"/><Relationship Id="rId3" Type="http://schemas.openxmlformats.org/officeDocument/2006/relationships/webSettings" Target="webSettings.xml"/><Relationship Id="rId7" Type="http://schemas.openxmlformats.org/officeDocument/2006/relationships/hyperlink" Target="consultantplus://offline/ref=9C22D8388D3BBF2AD40458FCE3926B619CF6E4E219311DF89B0CC7263DKFq3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C22D8388D3BBF2AD40447EDF6926B619FF1E0EF1C341DF89B0CC7263DKFq3N" TargetMode="External"/><Relationship Id="rId11" Type="http://schemas.openxmlformats.org/officeDocument/2006/relationships/theme" Target="theme/theme1.xml"/><Relationship Id="rId5" Type="http://schemas.openxmlformats.org/officeDocument/2006/relationships/hyperlink" Target="consultantplus://offline/ref=9C22D8388D3BBF2AD40447EDF6926B619FF1E1E91D321DF89B0CC7263DKFq3N"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9C22D8388D3BBF2AD40447EDF6926B619FF1E1E91D321DF89B0CC7263DF36A285A2607C60EK7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1729</Words>
  <Characters>9857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КУМИ-Морозова И.Н.</dc:creator>
  <cp:lastModifiedBy>КУМИ-Морозова И.Н.</cp:lastModifiedBy>
  <cp:revision>2</cp:revision>
  <dcterms:created xsi:type="dcterms:W3CDTF">2017-03-09T13:42:00Z</dcterms:created>
  <dcterms:modified xsi:type="dcterms:W3CDTF">2017-12-21T05:59:00Z</dcterms:modified>
</cp:coreProperties>
</file>