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3" w:rsidRDefault="005A6143" w:rsidP="005A6143">
      <w:pPr>
        <w:jc w:val="center"/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5A6143" w:rsidRDefault="005A6143" w:rsidP="005A6143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5A6143" w:rsidRDefault="005A6143" w:rsidP="005A6143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5A6143" w:rsidRDefault="005A6143" w:rsidP="005A6143">
      <w:pPr>
        <w:jc w:val="right"/>
        <w:rPr>
          <w:sz w:val="24"/>
        </w:rPr>
      </w:pPr>
      <w:r>
        <w:rPr>
          <w:sz w:val="24"/>
        </w:rPr>
        <w:t>от 02/08/2019 № 349-р</w:t>
      </w:r>
    </w:p>
    <w:p w:rsidR="005A6143" w:rsidRDefault="005A6143" w:rsidP="005A6143">
      <w:pPr>
        <w:spacing w:line="274" w:lineRule="exact"/>
        <w:ind w:left="5160"/>
        <w:jc w:val="right"/>
        <w:rPr>
          <w:rStyle w:val="210pt0pt"/>
          <w:b w:val="0"/>
          <w:sz w:val="24"/>
          <w:szCs w:val="24"/>
        </w:rPr>
      </w:pPr>
    </w:p>
    <w:p w:rsidR="005A6143" w:rsidRPr="00B823A9" w:rsidRDefault="005A6143" w:rsidP="005A6143">
      <w:pPr>
        <w:spacing w:line="274" w:lineRule="exact"/>
        <w:ind w:left="5160"/>
        <w:jc w:val="right"/>
        <w:rPr>
          <w:sz w:val="24"/>
          <w:szCs w:val="24"/>
        </w:rPr>
      </w:pPr>
    </w:p>
    <w:p w:rsidR="005A6143" w:rsidRPr="00B823A9" w:rsidRDefault="005A6143" w:rsidP="005A6143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Перечень </w:t>
      </w: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приоритетных рынков товаров и услуг 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по содействию развитию конкуренции на территории Сосновоборского городского округа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5A6143" w:rsidRPr="005A6143" w:rsidRDefault="005A6143" w:rsidP="00733462">
      <w:pPr>
        <w:pStyle w:val="4"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0pt0pt"/>
          <w:rFonts w:eastAsiaTheme="minorHAnsi"/>
          <w:sz w:val="24"/>
          <w:szCs w:val="24"/>
        </w:rPr>
        <w:t xml:space="preserve">      </w:t>
      </w:r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 xml:space="preserve">      </w:t>
      </w:r>
      <w:proofErr w:type="gramStart"/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:rsidR="005A6143" w:rsidRPr="005A6143" w:rsidRDefault="005A6143" w:rsidP="00733462">
      <w:pPr>
        <w:pStyle w:val="4"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pacing w:val="0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1.Рынок услуг по поддержке малого и среднего предпринимательства.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2.Рынок услуг розничной торговли.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Style w:val="ArialNarrow9pt0pt"/>
          <w:rFonts w:ascii="Times New Roman" w:eastAsiaTheme="minorHAnsi" w:hAnsi="Times New Roman" w:cs="Times New Roman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0pt0pt"/>
          <w:rFonts w:eastAsiaTheme="minorHAnsi"/>
          <w:spacing w:val="0"/>
          <w:sz w:val="24"/>
          <w:szCs w:val="24"/>
        </w:rPr>
        <w:t xml:space="preserve">     </w:t>
      </w:r>
      <w:proofErr w:type="gramStart"/>
      <w:r w:rsidRPr="005A6143">
        <w:rPr>
          <w:rStyle w:val="10pt0pt"/>
          <w:rFonts w:eastAsiaTheme="minorHAnsi"/>
          <w:spacing w:val="0"/>
          <w:sz w:val="24"/>
          <w:szCs w:val="24"/>
          <w:lang w:val="en-US"/>
        </w:rPr>
        <w:t>II</w:t>
      </w:r>
      <w:r w:rsidRPr="005A6143">
        <w:rPr>
          <w:rStyle w:val="10pt0pt"/>
          <w:rFonts w:eastAsiaTheme="minorHAnsi"/>
          <w:spacing w:val="0"/>
          <w:sz w:val="24"/>
          <w:szCs w:val="24"/>
        </w:rPr>
        <w:t>.Системные мероприятия по развитию конкурентной среды в Сосновоборском городском округе.</w:t>
      </w:r>
      <w:proofErr w:type="gramEnd"/>
    </w:p>
    <w:p w:rsidR="005A6143" w:rsidRPr="005A6143" w:rsidRDefault="005A6143" w:rsidP="005A6143">
      <w:pPr>
        <w:ind w:left="708"/>
        <w:rPr>
          <w:rStyle w:val="10pt"/>
          <w:rFonts w:eastAsia="Calibri"/>
          <w:b w:val="0"/>
          <w:sz w:val="24"/>
          <w:szCs w:val="24"/>
        </w:rPr>
      </w:pPr>
    </w:p>
    <w:p w:rsidR="005A6143" w:rsidRPr="005A6143" w:rsidRDefault="005A6143" w:rsidP="00733462">
      <w:pPr>
        <w:ind w:firstLine="708"/>
        <w:jc w:val="both"/>
        <w:rPr>
          <w:sz w:val="24"/>
          <w:szCs w:val="24"/>
        </w:rPr>
      </w:pPr>
      <w:r w:rsidRPr="005A6143">
        <w:rPr>
          <w:rStyle w:val="10pt"/>
          <w:rFonts w:eastAsia="Calibri"/>
          <w:b w:val="0"/>
          <w:sz w:val="24"/>
          <w:szCs w:val="24"/>
        </w:rPr>
        <w:t>1.</w:t>
      </w:r>
      <w:r w:rsidRPr="005A6143">
        <w:rPr>
          <w:rStyle w:val="10pt0pt"/>
          <w:b w:val="0"/>
          <w:sz w:val="24"/>
          <w:szCs w:val="24"/>
        </w:rPr>
        <w:t>Создание условий для развития конкуренции на рынке строительства.</w:t>
      </w:r>
    </w:p>
    <w:p w:rsidR="005A6143" w:rsidRPr="005A6143" w:rsidRDefault="005A6143" w:rsidP="00733462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A6143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5A6143" w:rsidRPr="005A6143" w:rsidRDefault="005A6143" w:rsidP="00733462">
      <w:pPr>
        <w:ind w:firstLine="708"/>
        <w:jc w:val="both"/>
        <w:rPr>
          <w:sz w:val="24"/>
          <w:szCs w:val="24"/>
        </w:rPr>
      </w:pPr>
      <w:r w:rsidRPr="005A6143">
        <w:rPr>
          <w:rStyle w:val="10pt0pt"/>
          <w:b w:val="0"/>
          <w:sz w:val="24"/>
          <w:szCs w:val="24"/>
        </w:rPr>
        <w:t>3. Совершенствование процессов управления муниципальной собственностью</w:t>
      </w:r>
    </w:p>
    <w:p w:rsidR="005A6143" w:rsidRPr="005A6143" w:rsidRDefault="005A6143" w:rsidP="00733462">
      <w:pPr>
        <w:jc w:val="both"/>
        <w:rPr>
          <w:sz w:val="24"/>
          <w:szCs w:val="24"/>
        </w:rPr>
      </w:pPr>
    </w:p>
    <w:p w:rsidR="005A6143" w:rsidRDefault="005A6143" w:rsidP="005A6143">
      <w:pPr>
        <w:jc w:val="both"/>
        <w:rPr>
          <w:sz w:val="24"/>
          <w:szCs w:val="24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  <w:sectPr w:rsidR="005A6143" w:rsidSect="00803E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lastRenderedPageBreak/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5A6143" w:rsidRPr="005D05FC" w:rsidRDefault="005A6143" w:rsidP="005A6143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5A6143" w:rsidRDefault="005A6143" w:rsidP="005A6143">
      <w:pPr>
        <w:jc w:val="right"/>
        <w:rPr>
          <w:sz w:val="24"/>
        </w:rPr>
      </w:pPr>
      <w:r>
        <w:rPr>
          <w:sz w:val="24"/>
        </w:rPr>
        <w:t>от 02/08/2019 № 349-р</w:t>
      </w:r>
    </w:p>
    <w:p w:rsidR="005A6143" w:rsidRDefault="005A6143" w:rsidP="005A6143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3977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33"/>
        <w:gridCol w:w="2919"/>
        <w:gridCol w:w="3686"/>
        <w:gridCol w:w="992"/>
        <w:gridCol w:w="1134"/>
        <w:gridCol w:w="908"/>
        <w:gridCol w:w="226"/>
        <w:gridCol w:w="908"/>
        <w:gridCol w:w="80"/>
        <w:gridCol w:w="17"/>
        <w:gridCol w:w="16"/>
        <w:gridCol w:w="29"/>
        <w:gridCol w:w="2495"/>
      </w:tblGrid>
      <w:tr w:rsidR="005A6143" w:rsidRPr="00123E78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30"/>
              <w:shd w:val="clear" w:color="auto" w:fill="auto"/>
              <w:spacing w:before="0" w:after="0" w:line="317" w:lineRule="exact"/>
              <w:ind w:firstLine="0"/>
              <w:jc w:val="center"/>
            </w:pPr>
            <w:bookmarkStart w:id="0" w:name="bookmark3"/>
            <w:r>
              <w:t>ПЛАН МЕРОПРИЯТИЙ</w:t>
            </w:r>
            <w:bookmarkEnd w:id="0"/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(«дорожная карта»)</w:t>
            </w:r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по содействию развитию конкуренции на территории  Сосновоборского городского округа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8241C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95pt0pt0"/>
                <w:rFonts w:eastAsia="Arial"/>
                <w:sz w:val="20"/>
                <w:szCs w:val="20"/>
              </w:rPr>
              <w:t>/</w:t>
            </w:r>
            <w:proofErr w:type="spell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Наименование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Целевой показатель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Ответственный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исполнитель</w:t>
            </w: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9 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20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1</w:t>
            </w: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 xml:space="preserve"> 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B4B00" w:rsidRDefault="005A6143" w:rsidP="00803EB4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 xml:space="preserve">2022 </w:t>
            </w:r>
          </w:p>
        </w:tc>
        <w:tc>
          <w:tcPr>
            <w:tcW w:w="2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E4EE3" w:rsidTr="00803EB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E4EE3">
              <w:rPr>
                <w:rStyle w:val="95pt0pt0"/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pacing w:after="0" w:line="240" w:lineRule="auto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7</w:t>
            </w:r>
          </w:p>
        </w:tc>
      </w:tr>
      <w:tr w:rsidR="005A6143" w:rsidRPr="00FF62D3" w:rsidTr="00803EB4">
        <w:trPr>
          <w:trHeight w:val="711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</w:t>
            </w:r>
          </w:p>
        </w:tc>
      </w:tr>
      <w:tr w:rsidR="005A6143" w:rsidRPr="00FF62D3" w:rsidTr="00803EB4">
        <w:trPr>
          <w:trHeight w:val="352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1.Рынок услуг по поддержке малого и среднего предпринимательства</w:t>
            </w:r>
          </w:p>
        </w:tc>
      </w:tr>
      <w:tr w:rsidR="005A6143" w:rsidRPr="00FF62D3" w:rsidTr="00803EB4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8F098C">
              <w:rPr>
                <w:rStyle w:val="ArialNarrow9pt0pt"/>
                <w:b w:val="0"/>
                <w:sz w:val="20"/>
                <w:szCs w:val="20"/>
              </w:rPr>
              <w:t>в</w:t>
            </w:r>
            <w:proofErr w:type="gramEnd"/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5A6143" w:rsidRPr="00FF62D3" w:rsidTr="00803EB4">
        <w:trPr>
          <w:trHeight w:val="234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FF62D3">
              <w:rPr>
                <w:rStyle w:val="ArialNarrow9pt0pt"/>
                <w:sz w:val="20"/>
                <w:szCs w:val="20"/>
              </w:rPr>
              <w:t xml:space="preserve">                                                       2. Рынок</w:t>
            </w:r>
            <w:r>
              <w:rPr>
                <w:rStyle w:val="ArialNarrow9pt0pt"/>
                <w:sz w:val="20"/>
                <w:szCs w:val="20"/>
              </w:rPr>
              <w:t xml:space="preserve"> услуг</w:t>
            </w:r>
            <w:r w:rsidRPr="00FF62D3">
              <w:rPr>
                <w:rStyle w:val="ArialNarrow9pt0pt"/>
                <w:sz w:val="20"/>
                <w:szCs w:val="20"/>
              </w:rPr>
              <w:t xml:space="preserve"> розничной торговли</w:t>
            </w:r>
          </w:p>
        </w:tc>
      </w:tr>
      <w:tr w:rsidR="005A6143" w:rsidRPr="00FF62D3" w:rsidTr="00803EB4">
        <w:trPr>
          <w:trHeight w:val="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(кв</w:t>
            </w:r>
            <w:proofErr w:type="gramStart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.м</w:t>
            </w:r>
            <w:proofErr w:type="gramEnd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/1000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1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Включение новых мест для размещения нестационарных торговых объектов в Схему размещения нестационарных торговых объектов   на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Количество торговых мест для установки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9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rPr>
                <w:color w:val="000000"/>
              </w:rPr>
            </w:pPr>
            <w:r w:rsidRPr="00FF62D3">
              <w:rPr>
                <w:rStyle w:val="95pt0pt0"/>
                <w:rFonts w:eastAsia="Calibri"/>
                <w:b w:val="0"/>
                <w:sz w:val="20"/>
                <w:szCs w:val="20"/>
              </w:rPr>
              <w:t>Оказание методической и консультационной помощи</w:t>
            </w:r>
            <w:r w:rsidRPr="00FF62D3">
              <w:rPr>
                <w:rStyle w:val="95pt0pt0"/>
                <w:rFonts w:eastAsia="Calibri"/>
                <w:sz w:val="20"/>
                <w:szCs w:val="20"/>
              </w:rPr>
              <w:t xml:space="preserve"> </w:t>
            </w:r>
            <w:r w:rsidRPr="00FF62D3">
              <w:rPr>
                <w:color w:val="000000"/>
              </w:rPr>
              <w:t xml:space="preserve">оказание консультативной помощи  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Calibri"/>
                <w:sz w:val="20"/>
                <w:szCs w:val="20"/>
              </w:rPr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5A6143" w:rsidRPr="00FF62D3" w:rsidTr="00803EB4">
        <w:trPr>
          <w:trHeight w:val="188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II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.</w:t>
            </w:r>
            <w:r w:rsidRPr="001F5B16">
              <w:rPr>
                <w:rStyle w:val="95pt0pt"/>
                <w:rFonts w:eastAsia="Arial Narrow"/>
                <w:sz w:val="20"/>
                <w:szCs w:val="20"/>
              </w:rPr>
              <w:t xml:space="preserve"> </w:t>
            </w:r>
            <w:r w:rsidRPr="001F5B16">
              <w:rPr>
                <w:rStyle w:val="10pt0pt"/>
                <w:rFonts w:eastAsiaTheme="minorHAnsi"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1</w:t>
            </w:r>
            <w:r w:rsidRPr="00FF62D3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В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ыдач</w:t>
            </w:r>
            <w:r>
              <w:rPr>
                <w:rStyle w:val="95pt0pt0"/>
                <w:rFonts w:eastAsia="Arial"/>
                <w:sz w:val="20"/>
                <w:szCs w:val="20"/>
              </w:rPr>
              <w:t>а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разрешений на ввод объекта в эксплуатацию при осуществлении строительства для граждан и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представителей бизнеса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Доля предоставления муниципальных услуг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004571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04571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2.1.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 xml:space="preserve"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</w:t>
            </w:r>
            <w:proofErr w:type="spellStart"/>
            <w:r w:rsidRPr="00FF62D3">
              <w:rPr>
                <w:b w:val="0"/>
                <w:color w:val="000000"/>
                <w:sz w:val="20"/>
                <w:szCs w:val="20"/>
              </w:rPr>
              <w:t>год,%</w:t>
            </w:r>
            <w:proofErr w:type="spellEnd"/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831CD7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31CD7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Не </w:t>
            </w:r>
            <w:r>
              <w:rPr>
                <w:rStyle w:val="95pt0pt0"/>
                <w:rFonts w:eastAsia="Arial"/>
                <w:sz w:val="20"/>
                <w:szCs w:val="20"/>
              </w:rPr>
              <w:t>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8E01F1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Не менее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Юридический отдел</w:t>
            </w:r>
          </w:p>
        </w:tc>
      </w:tr>
      <w:tr w:rsidR="005A6143" w:rsidRPr="00FF62D3" w:rsidTr="00803EB4">
        <w:trPr>
          <w:trHeight w:val="120"/>
        </w:trPr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"/>
                <w:sz w:val="20"/>
                <w:szCs w:val="20"/>
              </w:rPr>
              <w:t>3.1</w:t>
            </w:r>
            <w:r w:rsidRPr="00FF62D3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>(</w:t>
            </w:r>
            <w:hyperlink r:id="rId12" w:history="1"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85CC2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3.2.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Снижение количества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FF62D3">
              <w:rPr>
                <w:rStyle w:val="95pt0pt0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FF62D3">
              <w:rPr>
                <w:rStyle w:val="95pt0pt0"/>
                <w:rFonts w:eastAsia="Arial"/>
                <w:sz w:val="20"/>
                <w:szCs w:val="20"/>
              </w:rPr>
              <w:t>сд</w:t>
            </w:r>
            <w:proofErr w:type="spellEnd"/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3.3.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Выход муниципального образования из учредителей хозяйственных обществ (товариществ), которые фактически прекратили свою деятельность или являются </w:t>
            </w: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 xml:space="preserve">нерентабельными и не выплачивают учредителям дивиденды (часть прибыли)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9922DD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lastRenderedPageBreak/>
              <w:t>3.</w:t>
            </w:r>
            <w:r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Pr="00FF62D3" w:rsidRDefault="005A6143" w:rsidP="005A6143">
      <w:pPr>
        <w:rPr>
          <w:color w:val="002060"/>
        </w:rPr>
      </w:pPr>
    </w:p>
    <w:p w:rsidR="005A6143" w:rsidRPr="00FF62D3" w:rsidRDefault="005A6143" w:rsidP="005A6143">
      <w:pPr>
        <w:jc w:val="both"/>
      </w:pPr>
    </w:p>
    <w:p w:rsidR="005A6143" w:rsidRPr="00FF62D3" w:rsidRDefault="005A6143" w:rsidP="005A6143"/>
    <w:p w:rsidR="005A6143" w:rsidRDefault="005A6143" w:rsidP="005A6143">
      <w:pPr>
        <w:jc w:val="both"/>
        <w:rPr>
          <w:sz w:val="24"/>
        </w:rPr>
      </w:pPr>
    </w:p>
    <w:p w:rsidR="00986B56" w:rsidRDefault="00986B56"/>
    <w:sectPr w:rsidR="00986B56" w:rsidSect="00803EB4"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4" w:rsidRDefault="00803EB4" w:rsidP="005A6143">
      <w:r>
        <w:separator/>
      </w:r>
    </w:p>
  </w:endnote>
  <w:endnote w:type="continuationSeparator" w:id="0">
    <w:p w:rsidR="00803EB4" w:rsidRDefault="00803EB4" w:rsidP="005A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4" w:rsidRDefault="00803EB4" w:rsidP="005A6143">
      <w:r>
        <w:separator/>
      </w:r>
    </w:p>
  </w:footnote>
  <w:footnote w:type="continuationSeparator" w:id="0">
    <w:p w:rsidR="00803EB4" w:rsidRDefault="00803EB4" w:rsidP="005A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da4162-9bda-4669-a249-2355eb147ddb"/>
  </w:docVars>
  <w:rsids>
    <w:rsidRoot w:val="005A6143"/>
    <w:rsid w:val="000230E3"/>
    <w:rsid w:val="00057AB4"/>
    <w:rsid w:val="00061FBC"/>
    <w:rsid w:val="000B0B5B"/>
    <w:rsid w:val="000E06FE"/>
    <w:rsid w:val="000F26AA"/>
    <w:rsid w:val="00124ABE"/>
    <w:rsid w:val="0014354D"/>
    <w:rsid w:val="00152546"/>
    <w:rsid w:val="001D0766"/>
    <w:rsid w:val="00207A5B"/>
    <w:rsid w:val="00222A92"/>
    <w:rsid w:val="00222B38"/>
    <w:rsid w:val="0029169C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D7D9E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A6143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71D"/>
    <w:rsid w:val="00723B7C"/>
    <w:rsid w:val="00733462"/>
    <w:rsid w:val="007362DD"/>
    <w:rsid w:val="00766982"/>
    <w:rsid w:val="007A54EC"/>
    <w:rsid w:val="007B2BB7"/>
    <w:rsid w:val="007E321A"/>
    <w:rsid w:val="00803EB4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297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2D4B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44DE0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A6143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A6143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A6143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A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a0"/>
    <w:rsid w:val="005A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5A61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rsid w:val="005A6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A6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Narrow9pt0pt">
    <w:name w:val="Основной текст + Arial Narrow;9 pt;Интервал 0 pt"/>
    <w:basedOn w:val="a3"/>
    <w:rsid w:val="005A6143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5A6143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A6143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5A6143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0">
    <w:name w:val="Основной текст + 9;5 pt;Не полужирный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Hyperlink"/>
    <w:basedOn w:val="a0"/>
    <w:rsid w:val="005A6143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Смирнова</cp:lastModifiedBy>
  <cp:revision>6</cp:revision>
  <dcterms:created xsi:type="dcterms:W3CDTF">2019-08-02T11:25:00Z</dcterms:created>
  <dcterms:modified xsi:type="dcterms:W3CDTF">2019-08-05T12:30:00Z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feda4162-9bda-4669-a249-2355eb147ddb</vt:lpwstr>
  </property>
</Properties>
</file>